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01" w:rsidRDefault="00B262A2" w:rsidP="00DE5801">
      <w:pPr>
        <w:spacing w:after="0" w:line="240" w:lineRule="auto"/>
        <w:ind w:left="360"/>
        <w:contextualSpacing/>
        <w:jc w:val="right"/>
        <w:rPr>
          <w:rFonts w:eastAsia="Times New Roman" w:cs="Times New Roman"/>
          <w:lang w:eastAsia="fr-FR"/>
        </w:rPr>
      </w:pPr>
      <w:r>
        <w:rPr>
          <w:rFonts w:eastAsia="Times New Roman" w:cs="Times New Roman"/>
          <w:lang w:eastAsia="fr-FR"/>
        </w:rPr>
        <w:t xml:space="preserve">Le </w:t>
      </w:r>
      <w:r w:rsidR="007408BA">
        <w:rPr>
          <w:rFonts w:eastAsia="Times New Roman" w:cs="Times New Roman"/>
          <w:lang w:eastAsia="fr-FR"/>
        </w:rPr>
        <w:t>13 janvier 2015</w:t>
      </w:r>
    </w:p>
    <w:p w:rsidR="007408BA" w:rsidRPr="00DE5801" w:rsidRDefault="007408BA" w:rsidP="00DE5801">
      <w:pPr>
        <w:spacing w:after="0" w:line="240" w:lineRule="auto"/>
        <w:ind w:left="360"/>
        <w:contextualSpacing/>
        <w:jc w:val="right"/>
        <w:rPr>
          <w:rFonts w:eastAsia="Times New Roman" w:cs="Times New Roman"/>
          <w:lang w:eastAsia="fr-FR"/>
        </w:rPr>
      </w:pPr>
    </w:p>
    <w:p w:rsidR="00DE5801" w:rsidRDefault="00DE5801" w:rsidP="00DE5801">
      <w:pPr>
        <w:spacing w:after="0" w:line="240" w:lineRule="auto"/>
        <w:ind w:left="360"/>
        <w:contextualSpacing/>
        <w:jc w:val="both"/>
        <w:rPr>
          <w:rFonts w:eastAsia="Times New Roman" w:cs="Times New Roman"/>
          <w:b/>
          <w:lang w:eastAsia="fr-FR"/>
        </w:rPr>
      </w:pPr>
    </w:p>
    <w:p w:rsidR="007408BA" w:rsidRDefault="007408BA" w:rsidP="007408BA">
      <w:pPr>
        <w:shd w:val="clear" w:color="auto" w:fill="BFBFBF" w:themeFill="background1" w:themeFillShade="BF"/>
        <w:spacing w:after="0" w:line="240" w:lineRule="auto"/>
        <w:jc w:val="center"/>
        <w:rPr>
          <w:rFonts w:eastAsia="Times New Roman" w:cs="Times New Roman"/>
          <w:b/>
          <w:sz w:val="24"/>
          <w:szCs w:val="24"/>
          <w:lang w:eastAsia="fr-FR"/>
        </w:rPr>
      </w:pPr>
      <w:r w:rsidRPr="007408BA">
        <w:rPr>
          <w:rFonts w:eastAsia="Times New Roman" w:cs="Times New Roman"/>
          <w:b/>
          <w:sz w:val="24"/>
          <w:szCs w:val="24"/>
          <w:lang w:eastAsia="fr-FR"/>
        </w:rPr>
        <w:t xml:space="preserve">LES MESURES DE « DILIGENCE RAISONNABLE » </w:t>
      </w:r>
    </w:p>
    <w:p w:rsidR="007408BA" w:rsidRPr="007408BA" w:rsidRDefault="007408BA" w:rsidP="007408BA">
      <w:pPr>
        <w:shd w:val="clear" w:color="auto" w:fill="BFBFBF" w:themeFill="background1" w:themeFillShade="BF"/>
        <w:spacing w:after="0" w:line="240" w:lineRule="auto"/>
        <w:jc w:val="center"/>
        <w:rPr>
          <w:rFonts w:eastAsia="Times New Roman" w:cs="Times New Roman"/>
          <w:b/>
          <w:sz w:val="24"/>
          <w:szCs w:val="24"/>
          <w:lang w:eastAsia="fr-FR"/>
        </w:rPr>
      </w:pPr>
      <w:r w:rsidRPr="007408BA">
        <w:rPr>
          <w:rFonts w:eastAsia="Times New Roman" w:cs="Times New Roman"/>
          <w:b/>
          <w:sz w:val="24"/>
          <w:szCs w:val="24"/>
          <w:lang w:eastAsia="fr-FR"/>
        </w:rPr>
        <w:t>MISES EN ŒUVRE PAR LES GRANDES ENTREPRISES FRANÇAISES</w:t>
      </w:r>
    </w:p>
    <w:p w:rsidR="007408BA" w:rsidRPr="007408BA" w:rsidRDefault="007408BA" w:rsidP="007408BA">
      <w:pPr>
        <w:shd w:val="clear" w:color="auto" w:fill="BFBFBF" w:themeFill="background1" w:themeFillShade="BF"/>
        <w:spacing w:after="0" w:line="240" w:lineRule="auto"/>
        <w:jc w:val="center"/>
        <w:rPr>
          <w:rFonts w:eastAsia="Times New Roman" w:cs="Times New Roman"/>
          <w:b/>
          <w:sz w:val="24"/>
          <w:szCs w:val="24"/>
          <w:lang w:eastAsia="fr-FR"/>
        </w:rPr>
      </w:pPr>
      <w:r w:rsidRPr="007408BA">
        <w:rPr>
          <w:rFonts w:eastAsia="Times New Roman" w:cs="Times New Roman"/>
          <w:b/>
          <w:sz w:val="24"/>
          <w:szCs w:val="24"/>
          <w:lang w:eastAsia="fr-FR"/>
        </w:rPr>
        <w:t xml:space="preserve"> CONFORMEMENT AUX PRINCIPES DIRECTEURS DE L’OCDE ET DES NATIONS-UNIES (UNGP)</w:t>
      </w:r>
    </w:p>
    <w:p w:rsidR="00DE5801" w:rsidRDefault="00DE5801" w:rsidP="00B3129A">
      <w:pPr>
        <w:spacing w:after="0" w:line="240" w:lineRule="auto"/>
        <w:jc w:val="both"/>
        <w:rPr>
          <w:rFonts w:eastAsia="Times New Roman" w:cs="Times New Roman"/>
          <w:lang w:eastAsia="fr-FR"/>
        </w:rPr>
      </w:pPr>
    </w:p>
    <w:p w:rsidR="007408BA" w:rsidRDefault="007408BA" w:rsidP="00B3129A">
      <w:pPr>
        <w:spacing w:after="0" w:line="240" w:lineRule="auto"/>
        <w:jc w:val="both"/>
        <w:rPr>
          <w:rFonts w:eastAsia="Times New Roman" w:cs="Times New Roman"/>
          <w:lang w:eastAsia="fr-FR"/>
        </w:rPr>
      </w:pPr>
    </w:p>
    <w:p w:rsidR="00B3129A" w:rsidRPr="00B3129A" w:rsidRDefault="00B3129A" w:rsidP="00B3129A">
      <w:pPr>
        <w:spacing w:after="0" w:line="240" w:lineRule="auto"/>
        <w:jc w:val="both"/>
        <w:rPr>
          <w:rFonts w:eastAsia="Times New Roman" w:cs="Times New Roman"/>
          <w:lang w:eastAsia="fr-FR"/>
        </w:rPr>
      </w:pPr>
      <w:r w:rsidRPr="00B3129A">
        <w:rPr>
          <w:rFonts w:eastAsia="Times New Roman" w:cs="Times New Roman"/>
          <w:lang w:eastAsia="fr-FR"/>
        </w:rPr>
        <w:t xml:space="preserve">Les grandes entreprises françaises </w:t>
      </w:r>
      <w:r w:rsidR="0059292C">
        <w:rPr>
          <w:rFonts w:eastAsia="Times New Roman" w:cs="Times New Roman"/>
          <w:lang w:eastAsia="fr-FR"/>
        </w:rPr>
        <w:t>mettent en œuvre de très nombreuses</w:t>
      </w:r>
      <w:r w:rsidR="00DE5801">
        <w:rPr>
          <w:rFonts w:eastAsia="Times New Roman" w:cs="Times New Roman"/>
          <w:lang w:eastAsia="fr-FR"/>
        </w:rPr>
        <w:t xml:space="preserve"> mesures préventives </w:t>
      </w:r>
      <w:r w:rsidRPr="00B3129A">
        <w:rPr>
          <w:rFonts w:eastAsia="Times New Roman" w:cs="Times New Roman"/>
          <w:lang w:eastAsia="fr-FR"/>
        </w:rPr>
        <w:t>et curatives afin de maitriser les risques sociaux, sociétaux et environnementaux de leurs activités. Le détail de ces mesures est largement développé dans les rapports de gestion, de développement durable et dans les documents de référence.</w:t>
      </w:r>
      <w:r w:rsidR="004A7466">
        <w:rPr>
          <w:rFonts w:eastAsia="Times New Roman" w:cs="Times New Roman"/>
          <w:lang w:eastAsia="fr-FR"/>
        </w:rPr>
        <w:t xml:space="preserve"> Les entreprises font par ailleurs l’objet de notations </w:t>
      </w:r>
      <w:proofErr w:type="gramStart"/>
      <w:r w:rsidR="004A7466">
        <w:rPr>
          <w:rFonts w:eastAsia="Times New Roman" w:cs="Times New Roman"/>
          <w:lang w:eastAsia="fr-FR"/>
        </w:rPr>
        <w:t>extra-financières</w:t>
      </w:r>
      <w:proofErr w:type="gramEnd"/>
      <w:r w:rsidR="004A7466">
        <w:rPr>
          <w:rFonts w:eastAsia="Times New Roman" w:cs="Times New Roman"/>
          <w:lang w:eastAsia="fr-FR"/>
        </w:rPr>
        <w:t xml:space="preserve"> qui permettent d’évaluer ces engagements et pratiques de diligence raisonnable.  </w:t>
      </w:r>
    </w:p>
    <w:p w:rsidR="00B3129A" w:rsidRPr="00B3129A" w:rsidRDefault="00B3129A" w:rsidP="00B3129A">
      <w:pPr>
        <w:spacing w:after="0" w:line="240" w:lineRule="auto"/>
        <w:jc w:val="both"/>
        <w:rPr>
          <w:rFonts w:eastAsia="Times New Roman" w:cs="Times New Roman"/>
          <w:lang w:eastAsia="fr-FR"/>
        </w:rPr>
      </w:pPr>
    </w:p>
    <w:p w:rsidR="00B3129A" w:rsidRPr="00B3129A" w:rsidRDefault="00B3129A" w:rsidP="00B3129A">
      <w:pPr>
        <w:spacing w:after="0" w:line="240" w:lineRule="auto"/>
        <w:jc w:val="both"/>
        <w:rPr>
          <w:rFonts w:eastAsia="Times New Roman" w:cs="Times New Roman"/>
          <w:lang w:eastAsia="fr-FR"/>
        </w:rPr>
      </w:pPr>
      <w:r w:rsidRPr="00B3129A">
        <w:rPr>
          <w:rFonts w:eastAsia="Times New Roman" w:cs="Times New Roman"/>
          <w:lang w:eastAsia="fr-FR"/>
        </w:rPr>
        <w:t xml:space="preserve">Les pratiques les plus répandues sont les suivantes : </w:t>
      </w:r>
    </w:p>
    <w:p w:rsidR="00782105" w:rsidRPr="00B3129A" w:rsidRDefault="00782105" w:rsidP="00B3129A">
      <w:pPr>
        <w:spacing w:after="0" w:line="240" w:lineRule="auto"/>
        <w:jc w:val="both"/>
        <w:rPr>
          <w:rFonts w:eastAsia="Times New Roman" w:cs="Times New Roman"/>
          <w:lang w:eastAsia="fr-FR"/>
        </w:rPr>
      </w:pPr>
    </w:p>
    <w:p w:rsidR="00B3129A" w:rsidRDefault="00B3129A" w:rsidP="007408BA">
      <w:pPr>
        <w:numPr>
          <w:ilvl w:val="0"/>
          <w:numId w:val="3"/>
        </w:numPr>
        <w:shd w:val="clear" w:color="auto" w:fill="BFBFBF" w:themeFill="background1" w:themeFillShade="BF"/>
        <w:spacing w:before="120" w:after="120" w:line="240" w:lineRule="auto"/>
        <w:jc w:val="both"/>
        <w:rPr>
          <w:rFonts w:eastAsia="Times New Roman" w:cs="Times New Roman"/>
          <w:b/>
          <w:lang w:eastAsia="fr-FR"/>
        </w:rPr>
      </w:pPr>
      <w:r w:rsidRPr="00B3129A">
        <w:rPr>
          <w:rFonts w:eastAsia="Times New Roman" w:cs="Times New Roman"/>
          <w:b/>
          <w:lang w:eastAsia="fr-FR"/>
        </w:rPr>
        <w:t>Adoption et mise en œuvre au niveau des groupes de codes de conduite et de chartes sociales, environnementales et éthiques</w:t>
      </w:r>
    </w:p>
    <w:p w:rsidR="007408BA" w:rsidRDefault="007408BA" w:rsidP="004A7466">
      <w:pPr>
        <w:spacing w:before="120" w:after="120" w:line="240" w:lineRule="auto"/>
        <w:jc w:val="both"/>
        <w:rPr>
          <w:rFonts w:eastAsia="Times New Roman" w:cs="Times New Roman"/>
          <w:lang w:eastAsia="fr-FR"/>
        </w:rPr>
      </w:pPr>
    </w:p>
    <w:p w:rsidR="00B3129A" w:rsidRPr="00B3129A" w:rsidRDefault="00B3129A" w:rsidP="004A7466">
      <w:pPr>
        <w:spacing w:before="120" w:after="120" w:line="240" w:lineRule="auto"/>
        <w:jc w:val="both"/>
        <w:rPr>
          <w:rFonts w:eastAsia="Times New Roman" w:cs="Times New Roman"/>
          <w:lang w:eastAsia="fr-FR"/>
        </w:rPr>
      </w:pPr>
      <w:r w:rsidRPr="00B3129A">
        <w:rPr>
          <w:rFonts w:eastAsia="Times New Roman" w:cs="Times New Roman"/>
          <w:lang w:eastAsia="fr-FR"/>
        </w:rPr>
        <w:t xml:space="preserve">Les chartes ou codes de conduite adoptés par les grandes entreprises françaises s’appuient généralement sur la Déclaration Universelle des Droits de l’Homme des Nations-Unies, les Conventions Fondamentales de l’Organisation Internationale du Travail (OIT) et les recommandations de l’Organisation de Coopération et de Développement </w:t>
      </w:r>
      <w:r w:rsidR="00FE0168" w:rsidRPr="00B3129A">
        <w:rPr>
          <w:rFonts w:eastAsia="Times New Roman" w:cs="Times New Roman"/>
          <w:lang w:eastAsia="fr-FR"/>
        </w:rPr>
        <w:t>Économique</w:t>
      </w:r>
      <w:r w:rsidRPr="00B3129A">
        <w:rPr>
          <w:rFonts w:eastAsia="Times New Roman" w:cs="Times New Roman"/>
          <w:lang w:eastAsia="fr-FR"/>
        </w:rPr>
        <w:t xml:space="preserve"> (OCDE)</w:t>
      </w:r>
      <w:r w:rsidR="00DF4AE9">
        <w:rPr>
          <w:rFonts w:eastAsia="Times New Roman" w:cs="Times New Roman"/>
          <w:lang w:eastAsia="fr-FR"/>
        </w:rPr>
        <w:t xml:space="preserve"> et les principes directeurs des Nations-Unies relatifs aux entreprises et aux droits de l’homme (UNGP)</w:t>
      </w:r>
      <w:r w:rsidRPr="00B3129A">
        <w:rPr>
          <w:rFonts w:eastAsia="Times New Roman" w:cs="Times New Roman"/>
          <w:lang w:eastAsia="fr-FR"/>
        </w:rPr>
        <w:t xml:space="preserve">. Ces chartes et codes de conduites </w:t>
      </w:r>
      <w:r w:rsidRPr="00B3129A">
        <w:rPr>
          <w:rFonts w:eastAsia="Times New Roman" w:cs="Times New Roman"/>
          <w:b/>
          <w:lang w:eastAsia="fr-FR"/>
        </w:rPr>
        <w:t>s’appliquent à l’ensemble des collaborateurs</w:t>
      </w:r>
      <w:r w:rsidRPr="00B3129A">
        <w:rPr>
          <w:rFonts w:eastAsia="Times New Roman" w:cs="Times New Roman"/>
          <w:lang w:eastAsia="fr-FR"/>
        </w:rPr>
        <w:t xml:space="preserve"> des groupes qui doivent y souscrire au moment de leur embauche. </w:t>
      </w:r>
    </w:p>
    <w:p w:rsidR="00B63C2F" w:rsidRDefault="00B3129A" w:rsidP="00331EB5">
      <w:pPr>
        <w:spacing w:before="60" w:afterLines="60" w:after="144" w:line="240" w:lineRule="auto"/>
        <w:jc w:val="both"/>
        <w:rPr>
          <w:rFonts w:eastAsia="Times New Roman" w:cs="Times New Roman"/>
          <w:lang w:eastAsia="fr-FR"/>
        </w:rPr>
      </w:pPr>
      <w:r w:rsidRPr="00B3129A">
        <w:rPr>
          <w:rFonts w:eastAsia="Times New Roman" w:cs="Times New Roman"/>
          <w:b/>
          <w:lang w:eastAsia="fr-FR"/>
        </w:rPr>
        <w:t xml:space="preserve">L’évaluation de la conformité des pratiques locales </w:t>
      </w:r>
      <w:r w:rsidRPr="00B3129A">
        <w:rPr>
          <w:rFonts w:eastAsia="Times New Roman" w:cs="Times New Roman"/>
          <w:lang w:eastAsia="fr-FR"/>
        </w:rPr>
        <w:t>avec les principes énoncés dans les chartes se fait régulièrement, reprenant chaque principe énoncé dans la Charte. En cas de non-conformité entre la Charte et les pratiques locales, il est demandé à la filiale concerné de développer un</w:t>
      </w:r>
      <w:r w:rsidRPr="00B3129A">
        <w:rPr>
          <w:rFonts w:eastAsia="Times New Roman" w:cs="Times New Roman"/>
          <w:b/>
          <w:lang w:eastAsia="fr-FR"/>
        </w:rPr>
        <w:t xml:space="preserve"> plan d’action correctif</w:t>
      </w:r>
      <w:r w:rsidRPr="00B3129A">
        <w:rPr>
          <w:rFonts w:eastAsia="Times New Roman" w:cs="Times New Roman"/>
          <w:lang w:eastAsia="fr-FR"/>
        </w:rPr>
        <w:t>.</w:t>
      </w:r>
    </w:p>
    <w:p w:rsidR="00782105" w:rsidRPr="004A7466" w:rsidRDefault="00782105" w:rsidP="00B3129A">
      <w:pPr>
        <w:spacing w:after="0" w:line="240" w:lineRule="auto"/>
        <w:jc w:val="both"/>
        <w:rPr>
          <w:rFonts w:eastAsia="Times New Roman" w:cs="Times New Roman"/>
          <w:sz w:val="16"/>
          <w:szCs w:val="16"/>
          <w:lang w:eastAsia="fr-FR"/>
        </w:rPr>
      </w:pPr>
    </w:p>
    <w:p w:rsidR="007408BA" w:rsidRDefault="00B3129A" w:rsidP="007408BA">
      <w:pPr>
        <w:numPr>
          <w:ilvl w:val="0"/>
          <w:numId w:val="3"/>
        </w:numPr>
        <w:shd w:val="clear" w:color="auto" w:fill="BFBFBF" w:themeFill="background1" w:themeFillShade="BF"/>
        <w:spacing w:before="120" w:after="120" w:line="240" w:lineRule="auto"/>
        <w:jc w:val="both"/>
        <w:rPr>
          <w:rFonts w:eastAsia="Times New Roman" w:cs="Times New Roman"/>
          <w:b/>
          <w:lang w:eastAsia="fr-FR"/>
        </w:rPr>
      </w:pPr>
      <w:r w:rsidRPr="00B3129A">
        <w:rPr>
          <w:rFonts w:eastAsia="Times New Roman" w:cs="Times New Roman"/>
          <w:b/>
          <w:lang w:eastAsia="fr-FR"/>
        </w:rPr>
        <w:t>Procédures d’alertes</w:t>
      </w:r>
    </w:p>
    <w:p w:rsidR="007408BA" w:rsidRPr="007408BA" w:rsidRDefault="007408BA" w:rsidP="007408BA">
      <w:pPr>
        <w:shd w:val="clear" w:color="auto" w:fill="BFBFBF" w:themeFill="background1" w:themeFillShade="BF"/>
        <w:spacing w:before="120" w:after="120" w:line="240" w:lineRule="auto"/>
        <w:ind w:left="360"/>
        <w:jc w:val="both"/>
        <w:rPr>
          <w:rFonts w:eastAsia="Times New Roman" w:cs="Times New Roman"/>
          <w:b/>
          <w:lang w:eastAsia="fr-FR"/>
        </w:rPr>
      </w:pPr>
    </w:p>
    <w:p w:rsidR="007408BA" w:rsidRDefault="007408BA" w:rsidP="007E24A5">
      <w:pPr>
        <w:spacing w:before="120" w:after="120" w:line="240" w:lineRule="auto"/>
        <w:jc w:val="both"/>
        <w:rPr>
          <w:rFonts w:eastAsia="Times New Roman" w:cs="Times New Roman"/>
          <w:lang w:eastAsia="fr-FR"/>
        </w:rPr>
      </w:pPr>
    </w:p>
    <w:p w:rsidR="00B3129A" w:rsidRPr="00B3129A" w:rsidRDefault="00B3129A" w:rsidP="007E24A5">
      <w:pPr>
        <w:spacing w:before="120" w:after="120" w:line="240" w:lineRule="auto"/>
        <w:jc w:val="both"/>
        <w:rPr>
          <w:rFonts w:eastAsia="Times New Roman" w:cs="Times New Roman"/>
          <w:lang w:eastAsia="fr-FR"/>
        </w:rPr>
      </w:pPr>
      <w:r w:rsidRPr="00B3129A">
        <w:rPr>
          <w:rFonts w:eastAsia="Times New Roman" w:cs="Times New Roman"/>
          <w:lang w:eastAsia="fr-FR"/>
        </w:rPr>
        <w:t>Si un salarié considère qu’une des valeurs énoncées dans ces chartes n’est pas respectée ou estime qu'une de ces valeurs est sur le point d’être violée, il a le droit</w:t>
      </w:r>
      <w:r w:rsidR="00FE0168">
        <w:rPr>
          <w:rFonts w:eastAsia="Times New Roman" w:cs="Times New Roman"/>
          <w:lang w:eastAsia="fr-FR"/>
        </w:rPr>
        <w:t xml:space="preserve"> </w:t>
      </w:r>
      <w:r w:rsidRPr="00B3129A">
        <w:rPr>
          <w:rFonts w:eastAsia="Times New Roman" w:cs="Times New Roman"/>
          <w:lang w:eastAsia="fr-FR"/>
        </w:rPr>
        <w:t>:</w:t>
      </w:r>
    </w:p>
    <w:p w:rsidR="00B3129A" w:rsidRPr="00E9362B" w:rsidRDefault="00B3129A" w:rsidP="00E9362B">
      <w:pPr>
        <w:pStyle w:val="Paragraphedeliste"/>
        <w:numPr>
          <w:ilvl w:val="0"/>
          <w:numId w:val="5"/>
        </w:numPr>
        <w:spacing w:after="0" w:line="240" w:lineRule="auto"/>
        <w:jc w:val="both"/>
        <w:rPr>
          <w:rFonts w:eastAsia="Times New Roman" w:cs="Times New Roman"/>
          <w:lang w:eastAsia="fr-FR"/>
        </w:rPr>
      </w:pPr>
      <w:r w:rsidRPr="00E9362B">
        <w:rPr>
          <w:rFonts w:eastAsia="Times New Roman" w:cs="Times New Roman"/>
          <w:lang w:eastAsia="fr-FR"/>
        </w:rPr>
        <w:t>d’en référer à son responsable ;</w:t>
      </w:r>
    </w:p>
    <w:p w:rsidR="00B3129A" w:rsidRPr="00E9362B" w:rsidRDefault="00B3129A" w:rsidP="00E9362B">
      <w:pPr>
        <w:pStyle w:val="Paragraphedeliste"/>
        <w:numPr>
          <w:ilvl w:val="0"/>
          <w:numId w:val="5"/>
        </w:numPr>
        <w:spacing w:after="0" w:line="240" w:lineRule="auto"/>
        <w:jc w:val="both"/>
        <w:rPr>
          <w:rFonts w:eastAsia="Times New Roman" w:cs="Times New Roman"/>
          <w:lang w:eastAsia="fr-FR"/>
        </w:rPr>
      </w:pPr>
      <w:r w:rsidRPr="00E9362B">
        <w:rPr>
          <w:rFonts w:eastAsia="Times New Roman" w:cs="Times New Roman"/>
          <w:lang w:eastAsia="fr-FR"/>
        </w:rPr>
        <w:t>d’en référer à la direction générale locale, si le problème ne peut être traité par sa hiérarchie directe ;</w:t>
      </w:r>
    </w:p>
    <w:p w:rsidR="00B3129A" w:rsidRDefault="00B3129A" w:rsidP="00E9362B">
      <w:pPr>
        <w:pStyle w:val="Paragraphedeliste"/>
        <w:numPr>
          <w:ilvl w:val="0"/>
          <w:numId w:val="5"/>
        </w:numPr>
        <w:spacing w:after="0" w:line="240" w:lineRule="auto"/>
        <w:jc w:val="both"/>
        <w:rPr>
          <w:rFonts w:eastAsia="Times New Roman" w:cs="Times New Roman"/>
          <w:lang w:eastAsia="fr-FR"/>
        </w:rPr>
      </w:pPr>
      <w:r w:rsidRPr="00E9362B">
        <w:rPr>
          <w:rFonts w:eastAsia="Times New Roman" w:cs="Times New Roman"/>
          <w:lang w:eastAsia="fr-FR"/>
        </w:rPr>
        <w:t>d’alerter les syndicats ou les organes de négociation collective.</w:t>
      </w:r>
    </w:p>
    <w:p w:rsidR="006370AC" w:rsidRDefault="006370AC" w:rsidP="006370AC">
      <w:pPr>
        <w:spacing w:after="0" w:line="240" w:lineRule="auto"/>
        <w:jc w:val="both"/>
        <w:rPr>
          <w:rFonts w:eastAsia="Times New Roman" w:cs="Times New Roman"/>
          <w:lang w:eastAsia="fr-FR"/>
        </w:rPr>
      </w:pPr>
    </w:p>
    <w:p w:rsidR="006370AC" w:rsidRDefault="006370AC" w:rsidP="006370AC">
      <w:pPr>
        <w:spacing w:after="0" w:line="240" w:lineRule="auto"/>
        <w:jc w:val="both"/>
        <w:rPr>
          <w:rFonts w:eastAsia="Times New Roman" w:cs="Times New Roman"/>
          <w:lang w:eastAsia="fr-FR"/>
        </w:rPr>
      </w:pPr>
      <w:r>
        <w:rPr>
          <w:rFonts w:eastAsia="Times New Roman" w:cs="Times New Roman"/>
          <w:lang w:eastAsia="fr-FR"/>
        </w:rPr>
        <w:t>Des dispositifs d’alerte éthique anonymes (« </w:t>
      </w:r>
      <w:proofErr w:type="spellStart"/>
      <w:r w:rsidRPr="006370AC">
        <w:rPr>
          <w:rFonts w:eastAsia="Times New Roman" w:cs="Times New Roman"/>
          <w:lang w:eastAsia="fr-FR"/>
        </w:rPr>
        <w:t>whistleblowing</w:t>
      </w:r>
      <w:proofErr w:type="spellEnd"/>
      <w:r>
        <w:rPr>
          <w:rFonts w:eastAsia="Times New Roman" w:cs="Times New Roman"/>
          <w:lang w:eastAsia="fr-FR"/>
        </w:rPr>
        <w:t xml:space="preserve"> ») </w:t>
      </w:r>
      <w:r w:rsidRPr="006370AC">
        <w:rPr>
          <w:rFonts w:eastAsia="Times New Roman" w:cs="Times New Roman"/>
          <w:lang w:eastAsia="fr-FR"/>
        </w:rPr>
        <w:t>peuvent</w:t>
      </w:r>
      <w:r>
        <w:rPr>
          <w:rFonts w:eastAsia="Times New Roman" w:cs="Times New Roman"/>
          <w:lang w:eastAsia="fr-FR"/>
        </w:rPr>
        <w:t xml:space="preserve"> également être </w:t>
      </w:r>
      <w:r w:rsidRPr="006370AC">
        <w:rPr>
          <w:rFonts w:eastAsia="Times New Roman" w:cs="Times New Roman"/>
          <w:lang w:eastAsia="fr-FR"/>
        </w:rPr>
        <w:t xml:space="preserve">mis en place pour inciter ses employés à signaler des problèmes </w:t>
      </w:r>
      <w:r w:rsidR="00B27F90">
        <w:rPr>
          <w:rFonts w:eastAsia="Times New Roman" w:cs="Times New Roman"/>
          <w:lang w:eastAsia="fr-FR"/>
        </w:rPr>
        <w:t xml:space="preserve">de mise en application des règles de responsabilité sociale, sociétale et environnementale. </w:t>
      </w:r>
    </w:p>
    <w:p w:rsidR="00331EB5" w:rsidRDefault="00331EB5" w:rsidP="006370AC">
      <w:pPr>
        <w:spacing w:after="0" w:line="240" w:lineRule="auto"/>
        <w:jc w:val="both"/>
        <w:rPr>
          <w:rFonts w:eastAsia="Times New Roman" w:cs="Times New Roman"/>
          <w:lang w:eastAsia="fr-FR"/>
        </w:rPr>
      </w:pPr>
    </w:p>
    <w:p w:rsidR="007408BA" w:rsidRDefault="007408BA" w:rsidP="006370AC">
      <w:pPr>
        <w:spacing w:after="0" w:line="240" w:lineRule="auto"/>
        <w:jc w:val="both"/>
        <w:rPr>
          <w:rFonts w:eastAsia="Times New Roman" w:cs="Times New Roman"/>
          <w:lang w:eastAsia="fr-FR"/>
        </w:rPr>
      </w:pPr>
    </w:p>
    <w:p w:rsidR="008D572C" w:rsidRDefault="00B3129A" w:rsidP="007408BA">
      <w:pPr>
        <w:numPr>
          <w:ilvl w:val="0"/>
          <w:numId w:val="3"/>
        </w:numPr>
        <w:shd w:val="clear" w:color="auto" w:fill="BFBFBF" w:themeFill="background1" w:themeFillShade="BF"/>
        <w:spacing w:before="60" w:after="60" w:line="240" w:lineRule="auto"/>
        <w:jc w:val="both"/>
        <w:rPr>
          <w:rFonts w:eastAsia="Times New Roman" w:cs="Times New Roman"/>
          <w:b/>
          <w:lang w:eastAsia="fr-FR"/>
        </w:rPr>
      </w:pPr>
      <w:r w:rsidRPr="00B3129A">
        <w:rPr>
          <w:rFonts w:eastAsia="Times New Roman" w:cs="Times New Roman"/>
          <w:b/>
          <w:lang w:eastAsia="fr-FR"/>
        </w:rPr>
        <w:lastRenderedPageBreak/>
        <w:t>Contractualisation d’une politique d’achats responsable</w:t>
      </w:r>
    </w:p>
    <w:p w:rsidR="007408BA" w:rsidRDefault="007408BA" w:rsidP="007408BA">
      <w:pPr>
        <w:shd w:val="clear" w:color="auto" w:fill="BFBFBF" w:themeFill="background1" w:themeFillShade="BF"/>
        <w:spacing w:before="60" w:after="60" w:line="240" w:lineRule="auto"/>
        <w:ind w:left="360"/>
        <w:jc w:val="both"/>
        <w:rPr>
          <w:rFonts w:eastAsia="Times New Roman" w:cs="Times New Roman"/>
          <w:b/>
          <w:lang w:eastAsia="fr-FR"/>
        </w:rPr>
      </w:pPr>
    </w:p>
    <w:p w:rsidR="007408BA" w:rsidRDefault="007408BA" w:rsidP="008D572C">
      <w:pPr>
        <w:spacing w:before="60" w:after="60" w:line="240" w:lineRule="auto"/>
        <w:jc w:val="both"/>
        <w:rPr>
          <w:rFonts w:eastAsia="Times New Roman" w:cs="Times New Roman"/>
          <w:lang w:eastAsia="fr-FR"/>
        </w:rPr>
      </w:pPr>
    </w:p>
    <w:p w:rsidR="00B3129A" w:rsidRPr="00B3129A" w:rsidRDefault="00B3129A" w:rsidP="008D572C">
      <w:pPr>
        <w:spacing w:before="60" w:after="60" w:line="240" w:lineRule="auto"/>
        <w:jc w:val="both"/>
        <w:rPr>
          <w:rFonts w:eastAsia="Times New Roman" w:cs="Times New Roman"/>
          <w:lang w:eastAsia="fr-FR"/>
        </w:rPr>
      </w:pPr>
      <w:r w:rsidRPr="00B3129A">
        <w:rPr>
          <w:rFonts w:eastAsia="Times New Roman" w:cs="Times New Roman"/>
          <w:lang w:eastAsia="fr-FR"/>
        </w:rPr>
        <w:t>Afin de rendre responsable l’ensemble des acteurs de leur chaine de valeur, les entreprises impliquent leurs partenaires et parties prenantes. Elles s’assurent que tous les fournisseurs et sous-traitants, situés dans leur sphère d’influence</w:t>
      </w:r>
      <w:r w:rsidRPr="00B3129A">
        <w:rPr>
          <w:rFonts w:ascii="Calibri" w:eastAsia="Calibri" w:hAnsi="Calibri" w:cs="Times New Roman"/>
          <w:b/>
          <w:vertAlign w:val="superscript"/>
          <w:lang w:eastAsia="fr-FR"/>
        </w:rPr>
        <w:footnoteReference w:id="1"/>
      </w:r>
      <w:r w:rsidRPr="00B3129A">
        <w:rPr>
          <w:rFonts w:eastAsia="Times New Roman" w:cs="Times New Roman"/>
          <w:lang w:eastAsia="fr-FR"/>
        </w:rPr>
        <w:t>, sont en conformité avec les lois et réglementations applicables, ainsi qu’avec les conventions internationales portant sur les Droits de l’Homme, les conditions de travail, l’environnement et l’éthique. Elles les encouragent également à mettre en place des initiatives en faveur de l’environnement, de la santé et de la sécurité.</w:t>
      </w:r>
    </w:p>
    <w:p w:rsidR="00B3129A" w:rsidRPr="00D15F70" w:rsidRDefault="00B3129A" w:rsidP="008D572C">
      <w:pPr>
        <w:spacing w:before="60" w:after="60" w:line="240" w:lineRule="auto"/>
        <w:jc w:val="both"/>
        <w:rPr>
          <w:rFonts w:eastAsia="Times New Roman" w:cs="Times New Roman"/>
          <w:sz w:val="16"/>
          <w:szCs w:val="16"/>
          <w:lang w:eastAsia="fr-FR"/>
        </w:rPr>
      </w:pPr>
    </w:p>
    <w:p w:rsidR="00B3129A" w:rsidRPr="00B3129A" w:rsidRDefault="00B3129A" w:rsidP="000C2907">
      <w:pPr>
        <w:spacing w:before="60" w:after="0" w:line="240" w:lineRule="auto"/>
        <w:jc w:val="both"/>
        <w:rPr>
          <w:rFonts w:eastAsia="Times New Roman" w:cs="Times New Roman"/>
          <w:lang w:eastAsia="fr-FR"/>
        </w:rPr>
      </w:pPr>
      <w:r w:rsidRPr="00B3129A">
        <w:rPr>
          <w:rFonts w:eastAsia="Times New Roman" w:cs="Times New Roman"/>
          <w:lang w:eastAsia="fr-FR"/>
        </w:rPr>
        <w:t>Ainsi, tout fournisseur ou sous-traitant doit :</w:t>
      </w:r>
    </w:p>
    <w:p w:rsidR="00B3129A" w:rsidRPr="00D15F70" w:rsidRDefault="00B3129A" w:rsidP="000C2907">
      <w:pPr>
        <w:spacing w:after="0" w:line="240" w:lineRule="auto"/>
        <w:jc w:val="both"/>
        <w:rPr>
          <w:rFonts w:eastAsia="Times New Roman" w:cs="Times New Roman"/>
          <w:sz w:val="16"/>
          <w:szCs w:val="16"/>
          <w:lang w:eastAsia="fr-FR"/>
        </w:rPr>
      </w:pPr>
    </w:p>
    <w:p w:rsidR="00B3129A" w:rsidRPr="00B3129A" w:rsidRDefault="00B3129A" w:rsidP="000C2907">
      <w:pPr>
        <w:pStyle w:val="Paragraphedeliste"/>
        <w:numPr>
          <w:ilvl w:val="0"/>
          <w:numId w:val="5"/>
        </w:numPr>
        <w:spacing w:after="60" w:line="240" w:lineRule="auto"/>
        <w:ind w:left="1066" w:hanging="357"/>
        <w:jc w:val="both"/>
        <w:rPr>
          <w:rFonts w:eastAsia="Times New Roman" w:cs="Times New Roman"/>
          <w:lang w:eastAsia="fr-FR"/>
        </w:rPr>
      </w:pPr>
      <w:r w:rsidRPr="00B3129A">
        <w:rPr>
          <w:rFonts w:eastAsia="Times New Roman" w:cs="Times New Roman"/>
          <w:lang w:eastAsia="fr-FR"/>
        </w:rPr>
        <w:t>s’engager, en la signant, à respecter les chartes de développement durable pour les fournisseurs et sous-traitants</w:t>
      </w:r>
      <w:r w:rsidR="00782105">
        <w:rPr>
          <w:rFonts w:eastAsia="Times New Roman" w:cs="Times New Roman"/>
          <w:lang w:eastAsia="fr-FR"/>
        </w:rPr>
        <w:t> ;</w:t>
      </w:r>
      <w:r w:rsidRPr="00B3129A">
        <w:rPr>
          <w:rFonts w:eastAsia="Times New Roman" w:cs="Times New Roman"/>
          <w:lang w:eastAsia="fr-FR"/>
        </w:rPr>
        <w:t xml:space="preserve"> </w:t>
      </w:r>
      <w:r w:rsidR="00782105">
        <w:rPr>
          <w:rFonts w:eastAsia="Times New Roman" w:cs="Times New Roman"/>
          <w:lang w:eastAsia="fr-FR"/>
        </w:rPr>
        <w:t>c</w:t>
      </w:r>
      <w:r w:rsidRPr="00B3129A">
        <w:rPr>
          <w:rFonts w:eastAsia="Times New Roman" w:cs="Times New Roman"/>
          <w:lang w:eastAsia="fr-FR"/>
        </w:rPr>
        <w:t>et engagement est une condition nécessaire à une relation pérenne avec le Groupe ;</w:t>
      </w:r>
    </w:p>
    <w:p w:rsidR="00B3129A" w:rsidRPr="00B3129A" w:rsidRDefault="00B3129A" w:rsidP="008D572C">
      <w:pPr>
        <w:pStyle w:val="Paragraphedeliste"/>
        <w:numPr>
          <w:ilvl w:val="0"/>
          <w:numId w:val="5"/>
        </w:numPr>
        <w:spacing w:before="60" w:after="60" w:line="240" w:lineRule="auto"/>
        <w:jc w:val="both"/>
        <w:rPr>
          <w:rFonts w:eastAsia="Times New Roman" w:cs="Times New Roman"/>
          <w:lang w:eastAsia="fr-FR"/>
        </w:rPr>
      </w:pPr>
      <w:r w:rsidRPr="00B3129A">
        <w:rPr>
          <w:rFonts w:eastAsia="Times New Roman" w:cs="Times New Roman"/>
          <w:lang w:eastAsia="fr-FR"/>
        </w:rPr>
        <w:t>répondre à des évaluations sur la politique de développement durable ;</w:t>
      </w:r>
    </w:p>
    <w:p w:rsidR="00B3129A" w:rsidRDefault="00B3129A" w:rsidP="008D572C">
      <w:pPr>
        <w:pStyle w:val="Paragraphedeliste"/>
        <w:numPr>
          <w:ilvl w:val="0"/>
          <w:numId w:val="5"/>
        </w:numPr>
        <w:spacing w:before="60" w:after="60" w:line="240" w:lineRule="auto"/>
        <w:jc w:val="both"/>
        <w:rPr>
          <w:rFonts w:eastAsia="Times New Roman" w:cs="Times New Roman"/>
          <w:lang w:eastAsia="fr-FR"/>
        </w:rPr>
      </w:pPr>
      <w:r w:rsidRPr="00B3129A">
        <w:rPr>
          <w:rFonts w:eastAsia="Times New Roman" w:cs="Times New Roman"/>
          <w:lang w:eastAsia="fr-FR"/>
        </w:rPr>
        <w:t>travailler dans une approche d’amélioration continue accompagnée d’indicateurs appropriés.</w:t>
      </w:r>
    </w:p>
    <w:p w:rsidR="0059292C" w:rsidRPr="00D15F70" w:rsidRDefault="0059292C" w:rsidP="008D572C">
      <w:pPr>
        <w:pStyle w:val="Paragraphedeliste"/>
        <w:spacing w:before="60" w:after="60" w:line="240" w:lineRule="auto"/>
        <w:ind w:left="1068"/>
        <w:jc w:val="both"/>
        <w:rPr>
          <w:rFonts w:eastAsia="Times New Roman" w:cs="Times New Roman"/>
          <w:sz w:val="16"/>
          <w:szCs w:val="16"/>
          <w:lang w:eastAsia="fr-FR"/>
        </w:rPr>
      </w:pPr>
    </w:p>
    <w:p w:rsidR="00B3129A" w:rsidRDefault="0059292C" w:rsidP="008D572C">
      <w:pPr>
        <w:spacing w:before="60" w:after="60" w:line="240" w:lineRule="auto"/>
        <w:jc w:val="both"/>
        <w:rPr>
          <w:rFonts w:eastAsia="Times New Roman" w:cs="Times New Roman"/>
          <w:lang w:eastAsia="fr-FR"/>
        </w:rPr>
      </w:pPr>
      <w:r>
        <w:rPr>
          <w:rFonts w:eastAsia="Times New Roman" w:cs="Times New Roman"/>
          <w:lang w:eastAsia="fr-FR"/>
        </w:rPr>
        <w:t xml:space="preserve">La plupart des grandes entreprises ont </w:t>
      </w:r>
      <w:r w:rsidR="008D572C">
        <w:rPr>
          <w:rFonts w:eastAsia="Times New Roman" w:cs="Times New Roman"/>
          <w:lang w:eastAsia="fr-FR"/>
        </w:rPr>
        <w:t xml:space="preserve">par ailleurs </w:t>
      </w:r>
      <w:r>
        <w:rPr>
          <w:rFonts w:eastAsia="Times New Roman" w:cs="Times New Roman"/>
          <w:lang w:eastAsia="fr-FR"/>
        </w:rPr>
        <w:t xml:space="preserve">signé la </w:t>
      </w:r>
      <w:r w:rsidR="008D572C">
        <w:rPr>
          <w:rFonts w:eastAsia="Times New Roman" w:cs="Times New Roman"/>
          <w:lang w:eastAsia="fr-FR"/>
        </w:rPr>
        <w:t>C</w:t>
      </w:r>
      <w:r>
        <w:rPr>
          <w:rFonts w:eastAsia="Times New Roman" w:cs="Times New Roman"/>
          <w:lang w:eastAsia="fr-FR"/>
        </w:rPr>
        <w:t xml:space="preserve">harte </w:t>
      </w:r>
      <w:r w:rsidR="008D572C">
        <w:rPr>
          <w:rFonts w:eastAsia="Times New Roman" w:cs="Times New Roman"/>
          <w:lang w:eastAsia="fr-FR"/>
        </w:rPr>
        <w:t>« Relations inter-entreprises » et mettent en œuvre ses dix engagements de pratiques responsables des grands donneurs d’ordres vis-à-vis de leurs fournisseurs</w:t>
      </w:r>
      <w:r>
        <w:rPr>
          <w:rFonts w:eastAsia="Times New Roman" w:cs="Times New Roman"/>
          <w:lang w:eastAsia="fr-FR"/>
        </w:rPr>
        <w:t>.</w:t>
      </w:r>
    </w:p>
    <w:p w:rsidR="008D572C" w:rsidRPr="00D15F70" w:rsidRDefault="008D572C" w:rsidP="008D572C">
      <w:pPr>
        <w:spacing w:before="60" w:after="60" w:line="240" w:lineRule="auto"/>
        <w:jc w:val="both"/>
        <w:rPr>
          <w:rFonts w:eastAsia="Times New Roman" w:cs="Times New Roman"/>
          <w:sz w:val="16"/>
          <w:szCs w:val="16"/>
          <w:lang w:eastAsia="fr-FR"/>
        </w:rPr>
      </w:pPr>
    </w:p>
    <w:p w:rsidR="00B3129A" w:rsidRDefault="00B3129A" w:rsidP="007408BA">
      <w:pPr>
        <w:numPr>
          <w:ilvl w:val="0"/>
          <w:numId w:val="3"/>
        </w:numPr>
        <w:shd w:val="clear" w:color="auto" w:fill="BFBFBF" w:themeFill="background1" w:themeFillShade="BF"/>
        <w:spacing w:before="60" w:after="60" w:line="240" w:lineRule="auto"/>
        <w:jc w:val="both"/>
        <w:rPr>
          <w:rFonts w:eastAsia="Times New Roman" w:cs="Times New Roman"/>
          <w:b/>
          <w:lang w:eastAsia="fr-FR"/>
        </w:rPr>
      </w:pPr>
      <w:r w:rsidRPr="00B3129A">
        <w:rPr>
          <w:rFonts w:eastAsia="Times New Roman" w:cs="Times New Roman"/>
          <w:b/>
          <w:lang w:eastAsia="fr-FR"/>
        </w:rPr>
        <w:t>Cartographie des risques RSE</w:t>
      </w:r>
    </w:p>
    <w:p w:rsidR="007408BA" w:rsidRDefault="007408BA" w:rsidP="007408BA">
      <w:pPr>
        <w:shd w:val="clear" w:color="auto" w:fill="BFBFBF" w:themeFill="background1" w:themeFillShade="BF"/>
        <w:spacing w:before="60" w:after="60" w:line="240" w:lineRule="auto"/>
        <w:ind w:left="360"/>
        <w:jc w:val="both"/>
        <w:rPr>
          <w:rFonts w:eastAsia="Times New Roman" w:cs="Times New Roman"/>
          <w:b/>
          <w:lang w:eastAsia="fr-FR"/>
        </w:rPr>
      </w:pPr>
    </w:p>
    <w:p w:rsidR="008D572C" w:rsidRPr="00D15F70" w:rsidRDefault="008D572C" w:rsidP="008D572C">
      <w:pPr>
        <w:spacing w:before="60" w:after="60" w:line="240" w:lineRule="auto"/>
        <w:ind w:left="720"/>
        <w:jc w:val="both"/>
        <w:rPr>
          <w:rFonts w:eastAsia="Times New Roman" w:cs="Times New Roman"/>
          <w:b/>
          <w:sz w:val="16"/>
          <w:szCs w:val="16"/>
          <w:lang w:eastAsia="fr-FR"/>
        </w:rPr>
      </w:pPr>
    </w:p>
    <w:p w:rsidR="00B3129A" w:rsidRPr="00B3129A" w:rsidRDefault="00B3129A" w:rsidP="008D572C">
      <w:pPr>
        <w:spacing w:before="60" w:after="60" w:line="240" w:lineRule="auto"/>
        <w:jc w:val="both"/>
        <w:rPr>
          <w:rFonts w:ascii="Calibri" w:eastAsia="Calibri" w:hAnsi="Calibri" w:cs="Times New Roman"/>
          <w:lang w:eastAsia="fr-FR"/>
        </w:rPr>
      </w:pPr>
      <w:r w:rsidRPr="00B3129A">
        <w:rPr>
          <w:rFonts w:ascii="Calibri" w:eastAsia="Calibri" w:hAnsi="Calibri" w:cs="Times New Roman"/>
          <w:lang w:eastAsia="fr-FR"/>
        </w:rPr>
        <w:t xml:space="preserve">Les grandes entreprises multinationales ont une grande diversité de fournisseurs et de sous-traitants, souvent des centaines de milliers dans le monde. Il leur est impossible de vérifier le respect des critères relatifs à la RSE par chacun d’entre eux. </w:t>
      </w:r>
    </w:p>
    <w:p w:rsidR="00B3129A" w:rsidRPr="008D572C" w:rsidRDefault="00B3129A" w:rsidP="008D572C">
      <w:pPr>
        <w:spacing w:before="60" w:after="60" w:line="240" w:lineRule="auto"/>
        <w:jc w:val="both"/>
        <w:rPr>
          <w:rFonts w:ascii="Calibri" w:eastAsia="Calibri" w:hAnsi="Calibri" w:cs="Times New Roman"/>
          <w:sz w:val="16"/>
          <w:szCs w:val="16"/>
          <w:lang w:eastAsia="fr-FR"/>
        </w:rPr>
      </w:pPr>
    </w:p>
    <w:p w:rsidR="00B3129A" w:rsidRPr="00B3129A" w:rsidRDefault="00B3129A" w:rsidP="008D572C">
      <w:pPr>
        <w:spacing w:before="60" w:after="60" w:line="240" w:lineRule="auto"/>
        <w:jc w:val="both"/>
        <w:rPr>
          <w:rFonts w:ascii="Calibri" w:eastAsia="Calibri" w:hAnsi="Calibri" w:cs="Times New Roman"/>
          <w:lang w:eastAsia="fr-FR"/>
        </w:rPr>
      </w:pPr>
      <w:r w:rsidRPr="00B3129A">
        <w:rPr>
          <w:rFonts w:ascii="Calibri" w:eastAsia="Calibri" w:hAnsi="Calibri" w:cs="Times New Roman"/>
          <w:lang w:eastAsia="fr-FR"/>
        </w:rPr>
        <w:t xml:space="preserve">Par conséquent, les entreprises évaluent en priorité les fournisseurs et sous-traitants pouvant présenter un </w:t>
      </w:r>
      <w:r w:rsidRPr="00B3129A">
        <w:rPr>
          <w:rFonts w:ascii="Calibri" w:eastAsia="Calibri" w:hAnsi="Calibri" w:cs="Times New Roman"/>
          <w:b/>
          <w:lang w:eastAsia="fr-FR"/>
        </w:rPr>
        <w:t>facteur de risques important</w:t>
      </w:r>
      <w:r w:rsidRPr="00B3129A">
        <w:rPr>
          <w:rFonts w:ascii="Calibri" w:eastAsia="Calibri" w:hAnsi="Calibri" w:cs="Times New Roman"/>
          <w:lang w:eastAsia="fr-FR"/>
        </w:rPr>
        <w:t xml:space="preserve"> et </w:t>
      </w:r>
      <w:r w:rsidRPr="00B3129A">
        <w:rPr>
          <w:rFonts w:ascii="Calibri" w:eastAsia="Calibri" w:hAnsi="Calibri" w:cs="Times New Roman"/>
          <w:b/>
          <w:lang w:eastAsia="fr-FR"/>
        </w:rPr>
        <w:t>situés dans leur sphère d’influence</w:t>
      </w:r>
      <w:r w:rsidRPr="00B3129A">
        <w:rPr>
          <w:rFonts w:ascii="Calibri" w:eastAsia="Calibri" w:hAnsi="Calibri" w:cs="Times New Roman"/>
          <w:lang w:eastAsia="fr-FR"/>
        </w:rPr>
        <w:t xml:space="preserve">. A cet effet, une cartographie des risques RSE est réalisée annuellement selon trois critères : </w:t>
      </w:r>
    </w:p>
    <w:p w:rsidR="00B3129A" w:rsidRPr="00D15F70" w:rsidRDefault="00B3129A" w:rsidP="000C2907">
      <w:pPr>
        <w:spacing w:before="60" w:after="0" w:line="240" w:lineRule="auto"/>
        <w:jc w:val="both"/>
        <w:rPr>
          <w:rFonts w:ascii="Calibri" w:eastAsia="Calibri" w:hAnsi="Calibri" w:cs="Times New Roman"/>
          <w:sz w:val="16"/>
          <w:szCs w:val="16"/>
          <w:lang w:eastAsia="fr-FR"/>
        </w:rPr>
      </w:pPr>
    </w:p>
    <w:p w:rsidR="00B3129A" w:rsidRPr="00E9362B" w:rsidRDefault="00B3129A" w:rsidP="000C2907">
      <w:pPr>
        <w:pStyle w:val="Paragraphedeliste"/>
        <w:numPr>
          <w:ilvl w:val="0"/>
          <w:numId w:val="5"/>
        </w:numPr>
        <w:spacing w:after="0" w:line="240" w:lineRule="auto"/>
        <w:ind w:left="1066" w:hanging="357"/>
        <w:jc w:val="both"/>
        <w:rPr>
          <w:rFonts w:eastAsia="Times New Roman" w:cs="Times New Roman"/>
          <w:lang w:eastAsia="fr-FR"/>
        </w:rPr>
      </w:pPr>
      <w:r w:rsidRPr="00E9362B">
        <w:rPr>
          <w:rFonts w:eastAsia="Times New Roman" w:cs="Times New Roman"/>
          <w:lang w:eastAsia="fr-FR"/>
        </w:rPr>
        <w:t>famille de produits ;</w:t>
      </w:r>
    </w:p>
    <w:p w:rsidR="00B3129A" w:rsidRPr="00E9362B" w:rsidRDefault="00B3129A" w:rsidP="000C2907">
      <w:pPr>
        <w:pStyle w:val="Paragraphedeliste"/>
        <w:numPr>
          <w:ilvl w:val="0"/>
          <w:numId w:val="5"/>
        </w:numPr>
        <w:spacing w:after="0" w:line="240" w:lineRule="auto"/>
        <w:jc w:val="both"/>
        <w:rPr>
          <w:rFonts w:eastAsia="Times New Roman" w:cs="Times New Roman"/>
          <w:lang w:eastAsia="fr-FR"/>
        </w:rPr>
      </w:pPr>
      <w:r w:rsidRPr="00E9362B">
        <w:rPr>
          <w:rFonts w:eastAsia="Times New Roman" w:cs="Times New Roman"/>
          <w:lang w:eastAsia="fr-FR"/>
        </w:rPr>
        <w:t xml:space="preserve">pays du fournisseur ou sous-traitant ; </w:t>
      </w:r>
    </w:p>
    <w:p w:rsidR="00B3129A" w:rsidRPr="00E9362B" w:rsidRDefault="00B3129A" w:rsidP="000C2907">
      <w:pPr>
        <w:pStyle w:val="Paragraphedeliste"/>
        <w:numPr>
          <w:ilvl w:val="0"/>
          <w:numId w:val="5"/>
        </w:numPr>
        <w:spacing w:after="0" w:line="240" w:lineRule="auto"/>
        <w:jc w:val="both"/>
        <w:rPr>
          <w:rFonts w:eastAsia="Times New Roman" w:cs="Times New Roman"/>
          <w:lang w:eastAsia="fr-FR"/>
        </w:rPr>
      </w:pPr>
      <w:r w:rsidRPr="00E9362B">
        <w:rPr>
          <w:rFonts w:eastAsia="Times New Roman" w:cs="Times New Roman"/>
          <w:lang w:eastAsia="fr-FR"/>
        </w:rPr>
        <w:t xml:space="preserve">volume d’achats ou de services réalisés. </w:t>
      </w:r>
    </w:p>
    <w:p w:rsidR="00B3129A" w:rsidRPr="00D15F70" w:rsidRDefault="00B3129A" w:rsidP="000C2907">
      <w:pPr>
        <w:spacing w:after="0" w:line="240" w:lineRule="auto"/>
        <w:jc w:val="both"/>
        <w:rPr>
          <w:rFonts w:ascii="Calibri" w:eastAsia="Calibri" w:hAnsi="Calibri" w:cs="Times New Roman"/>
          <w:sz w:val="16"/>
          <w:szCs w:val="16"/>
          <w:lang w:eastAsia="fr-FR"/>
        </w:rPr>
      </w:pPr>
    </w:p>
    <w:p w:rsidR="00B3129A" w:rsidRDefault="00B3129A" w:rsidP="008D572C">
      <w:pPr>
        <w:spacing w:before="60" w:after="60" w:line="240" w:lineRule="auto"/>
        <w:jc w:val="both"/>
        <w:rPr>
          <w:rFonts w:ascii="Calibri" w:eastAsia="Calibri" w:hAnsi="Calibri" w:cs="Times New Roman"/>
          <w:lang w:eastAsia="fr-FR"/>
        </w:rPr>
      </w:pPr>
      <w:r w:rsidRPr="00B3129A">
        <w:rPr>
          <w:rFonts w:ascii="Calibri" w:eastAsia="Calibri" w:hAnsi="Calibri" w:cs="Times New Roman"/>
          <w:lang w:eastAsia="fr-FR"/>
        </w:rPr>
        <w:t xml:space="preserve">La cartographie des risques RSE permet d’établir des </w:t>
      </w:r>
      <w:r w:rsidRPr="00B3129A">
        <w:rPr>
          <w:rFonts w:ascii="Calibri" w:eastAsia="Calibri" w:hAnsi="Calibri" w:cs="Times New Roman"/>
          <w:b/>
          <w:lang w:eastAsia="fr-FR"/>
        </w:rPr>
        <w:t>niveaux de priorité</w:t>
      </w:r>
      <w:r w:rsidRPr="00B3129A">
        <w:rPr>
          <w:rFonts w:ascii="Calibri" w:eastAsia="Calibri" w:hAnsi="Calibri" w:cs="Times New Roman"/>
          <w:lang w:eastAsia="fr-FR"/>
        </w:rPr>
        <w:t xml:space="preserve"> quant aux évaluations à effectuer. Les groupes se fixent des règles pour la conduite des évaluations et des objectifs, par exemple à trois ans, quant à la mesure de la performance en termes de développement durable. </w:t>
      </w:r>
    </w:p>
    <w:p w:rsidR="00331EB5" w:rsidRDefault="00331EB5" w:rsidP="008D572C">
      <w:pPr>
        <w:spacing w:before="60" w:after="60" w:line="240" w:lineRule="auto"/>
        <w:jc w:val="both"/>
        <w:rPr>
          <w:rFonts w:ascii="Calibri" w:eastAsia="Calibri" w:hAnsi="Calibri" w:cs="Times New Roman"/>
          <w:lang w:eastAsia="fr-FR"/>
        </w:rPr>
      </w:pPr>
    </w:p>
    <w:p w:rsidR="007408BA" w:rsidRDefault="007408BA" w:rsidP="008D572C">
      <w:pPr>
        <w:spacing w:before="60" w:after="60" w:line="240" w:lineRule="auto"/>
        <w:jc w:val="both"/>
        <w:rPr>
          <w:rFonts w:ascii="Calibri" w:eastAsia="Calibri" w:hAnsi="Calibri" w:cs="Times New Roman"/>
          <w:lang w:eastAsia="fr-FR"/>
        </w:rPr>
      </w:pPr>
    </w:p>
    <w:p w:rsidR="007408BA" w:rsidRDefault="007408BA" w:rsidP="008D572C">
      <w:pPr>
        <w:spacing w:before="60" w:after="60" w:line="240" w:lineRule="auto"/>
        <w:jc w:val="both"/>
        <w:rPr>
          <w:rFonts w:ascii="Calibri" w:eastAsia="Calibri" w:hAnsi="Calibri" w:cs="Times New Roman"/>
          <w:lang w:eastAsia="fr-FR"/>
        </w:rPr>
      </w:pPr>
    </w:p>
    <w:p w:rsidR="007408BA" w:rsidRDefault="007408BA" w:rsidP="008D572C">
      <w:pPr>
        <w:spacing w:before="60" w:after="60" w:line="240" w:lineRule="auto"/>
        <w:jc w:val="both"/>
        <w:rPr>
          <w:rFonts w:ascii="Calibri" w:eastAsia="Calibri" w:hAnsi="Calibri" w:cs="Times New Roman"/>
          <w:lang w:eastAsia="fr-FR"/>
        </w:rPr>
      </w:pPr>
    </w:p>
    <w:p w:rsidR="007408BA" w:rsidRPr="00B3129A" w:rsidRDefault="007408BA" w:rsidP="008D572C">
      <w:pPr>
        <w:spacing w:before="60" w:after="60" w:line="240" w:lineRule="auto"/>
        <w:jc w:val="both"/>
        <w:rPr>
          <w:rFonts w:ascii="Calibri" w:eastAsia="Calibri" w:hAnsi="Calibri" w:cs="Times New Roman"/>
          <w:lang w:eastAsia="fr-FR"/>
        </w:rPr>
      </w:pPr>
    </w:p>
    <w:p w:rsidR="00B3129A" w:rsidRDefault="00B3129A" w:rsidP="007408BA">
      <w:pPr>
        <w:numPr>
          <w:ilvl w:val="0"/>
          <w:numId w:val="3"/>
        </w:numPr>
        <w:shd w:val="clear" w:color="auto" w:fill="BFBFBF" w:themeFill="background1" w:themeFillShade="BF"/>
        <w:spacing w:before="60" w:after="60" w:line="240" w:lineRule="auto"/>
        <w:jc w:val="both"/>
        <w:rPr>
          <w:rFonts w:ascii="Calibri" w:eastAsia="Calibri" w:hAnsi="Calibri" w:cs="Times New Roman"/>
          <w:b/>
          <w:lang w:eastAsia="fr-FR"/>
        </w:rPr>
      </w:pPr>
      <w:r w:rsidRPr="00B3129A">
        <w:rPr>
          <w:rFonts w:ascii="Calibri" w:eastAsia="Calibri" w:hAnsi="Calibri" w:cs="Times New Roman"/>
          <w:b/>
          <w:lang w:eastAsia="fr-FR"/>
        </w:rPr>
        <w:lastRenderedPageBreak/>
        <w:t>Evaluation des fournisseurs et sous-traitants</w:t>
      </w:r>
    </w:p>
    <w:p w:rsidR="007408BA" w:rsidRDefault="007408BA" w:rsidP="007408BA">
      <w:pPr>
        <w:shd w:val="clear" w:color="auto" w:fill="BFBFBF" w:themeFill="background1" w:themeFillShade="BF"/>
        <w:spacing w:before="60" w:after="60" w:line="240" w:lineRule="auto"/>
        <w:ind w:left="360"/>
        <w:jc w:val="both"/>
        <w:rPr>
          <w:rFonts w:ascii="Calibri" w:eastAsia="Calibri" w:hAnsi="Calibri" w:cs="Times New Roman"/>
          <w:b/>
          <w:lang w:eastAsia="fr-FR"/>
        </w:rPr>
      </w:pPr>
    </w:p>
    <w:p w:rsidR="00D15F70" w:rsidRPr="00D15F70" w:rsidRDefault="00D15F70" w:rsidP="00D15F70">
      <w:pPr>
        <w:spacing w:before="60" w:after="60" w:line="240" w:lineRule="auto"/>
        <w:ind w:left="720"/>
        <w:jc w:val="both"/>
        <w:rPr>
          <w:rFonts w:ascii="Calibri" w:eastAsia="Calibri" w:hAnsi="Calibri" w:cs="Times New Roman"/>
          <w:b/>
          <w:sz w:val="16"/>
          <w:szCs w:val="16"/>
          <w:lang w:eastAsia="fr-FR"/>
        </w:rPr>
      </w:pPr>
    </w:p>
    <w:p w:rsidR="00B3129A" w:rsidRPr="00B3129A" w:rsidRDefault="00B3129A" w:rsidP="008D572C">
      <w:pPr>
        <w:spacing w:before="60" w:after="60" w:line="240" w:lineRule="auto"/>
        <w:jc w:val="both"/>
        <w:rPr>
          <w:rFonts w:ascii="Calibri" w:eastAsia="Calibri" w:hAnsi="Calibri" w:cs="Times New Roman"/>
          <w:lang w:eastAsia="fr-FR"/>
        </w:rPr>
      </w:pPr>
      <w:r w:rsidRPr="00B3129A">
        <w:rPr>
          <w:rFonts w:ascii="Calibri" w:eastAsia="Calibri" w:hAnsi="Calibri" w:cs="Times New Roman"/>
          <w:lang w:eastAsia="fr-FR"/>
        </w:rPr>
        <w:t xml:space="preserve">Tout soumissionnaire à un appel d’offre doit passer une évaluation RSE. Cette évaluation consiste en un audit documentaire de la politique RSE du soumissionnaire, effectué à l’aide </w:t>
      </w:r>
      <w:r w:rsidR="004F565C">
        <w:rPr>
          <w:rFonts w:ascii="Calibri" w:eastAsia="Calibri" w:hAnsi="Calibri" w:cs="Times New Roman"/>
          <w:lang w:eastAsia="fr-FR"/>
        </w:rPr>
        <w:t xml:space="preserve">d’un questionnaire ou </w:t>
      </w:r>
      <w:r w:rsidRPr="00B3129A">
        <w:rPr>
          <w:rFonts w:ascii="Calibri" w:eastAsia="Calibri" w:hAnsi="Calibri" w:cs="Times New Roman"/>
          <w:lang w:eastAsia="fr-FR"/>
        </w:rPr>
        <w:t xml:space="preserve">d’un prestataire extérieur comme </w:t>
      </w:r>
      <w:proofErr w:type="spellStart"/>
      <w:r w:rsidRPr="00B3129A">
        <w:rPr>
          <w:rFonts w:ascii="Calibri" w:eastAsia="Calibri" w:hAnsi="Calibri" w:cs="Times New Roman"/>
          <w:lang w:eastAsia="fr-FR"/>
        </w:rPr>
        <w:t>EcoVadis</w:t>
      </w:r>
      <w:proofErr w:type="spellEnd"/>
      <w:r w:rsidR="00840377">
        <w:rPr>
          <w:rFonts w:ascii="Calibri" w:eastAsia="Calibri" w:hAnsi="Calibri" w:cs="Times New Roman"/>
          <w:lang w:eastAsia="fr-FR"/>
        </w:rPr>
        <w:t xml:space="preserve"> ou </w:t>
      </w:r>
      <w:proofErr w:type="spellStart"/>
      <w:r w:rsidR="00840377">
        <w:rPr>
          <w:rFonts w:ascii="Calibri" w:eastAsia="Calibri" w:hAnsi="Calibri" w:cs="Times New Roman"/>
          <w:lang w:eastAsia="fr-FR"/>
        </w:rPr>
        <w:t>Sedex</w:t>
      </w:r>
      <w:proofErr w:type="spellEnd"/>
      <w:r w:rsidR="004F565C">
        <w:rPr>
          <w:rStyle w:val="Appelnotedebasdep"/>
          <w:rFonts w:ascii="Calibri" w:eastAsia="Calibri" w:hAnsi="Calibri" w:cs="Times New Roman"/>
          <w:lang w:eastAsia="fr-FR"/>
        </w:rPr>
        <w:footnoteReference w:id="2"/>
      </w:r>
      <w:r w:rsidRPr="00B3129A">
        <w:rPr>
          <w:rFonts w:ascii="Calibri" w:eastAsia="Calibri" w:hAnsi="Calibri" w:cs="Times New Roman"/>
          <w:lang w:eastAsia="fr-FR"/>
        </w:rPr>
        <w:t>. Ce dernier évalue le système de management RSE mis en place par un fournisseur sur 4 axes : environnement, social, éthique et gestion de la chaîne de sous-traitance. L’entreprise donneuse d’ordre reçoit une note RSE qui est incorporée dans une grille multicritère de sélection du fournisseur ou sous-traitant et pondérée dans la note finale d’attribution de l’appel d’offre.</w:t>
      </w:r>
    </w:p>
    <w:p w:rsidR="00B3129A" w:rsidRPr="00B3129A" w:rsidRDefault="00B3129A" w:rsidP="008D572C">
      <w:pPr>
        <w:spacing w:before="60" w:after="60" w:line="240" w:lineRule="auto"/>
        <w:jc w:val="both"/>
        <w:rPr>
          <w:rFonts w:ascii="Calibri" w:eastAsia="Calibri" w:hAnsi="Calibri" w:cs="Times New Roman"/>
          <w:lang w:eastAsia="fr-FR"/>
        </w:rPr>
      </w:pPr>
    </w:p>
    <w:p w:rsidR="00B3129A" w:rsidRPr="00B3129A" w:rsidRDefault="00B3129A" w:rsidP="008D572C">
      <w:pPr>
        <w:spacing w:before="60" w:after="60" w:line="240" w:lineRule="auto"/>
        <w:jc w:val="both"/>
        <w:rPr>
          <w:rFonts w:ascii="Calibri" w:eastAsia="Calibri" w:hAnsi="Calibri" w:cs="Times New Roman"/>
          <w:lang w:eastAsia="fr-FR"/>
        </w:rPr>
      </w:pPr>
      <w:r w:rsidRPr="00B3129A">
        <w:rPr>
          <w:rFonts w:ascii="Calibri" w:eastAsia="Calibri" w:hAnsi="Calibri" w:cs="Times New Roman"/>
          <w:lang w:eastAsia="fr-FR"/>
        </w:rPr>
        <w:t xml:space="preserve">Pour les familles d’achat ou de sous-traitance risquées conformément à la cartographie des risques, des </w:t>
      </w:r>
      <w:r w:rsidRPr="00B3129A">
        <w:rPr>
          <w:rFonts w:ascii="Calibri" w:eastAsia="Calibri" w:hAnsi="Calibri" w:cs="Times New Roman"/>
          <w:b/>
          <w:lang w:eastAsia="fr-FR"/>
        </w:rPr>
        <w:t>clauses spécifiques sociales et/ou environnementales et/ou éthiques</w:t>
      </w:r>
      <w:r w:rsidRPr="00B3129A">
        <w:rPr>
          <w:rFonts w:ascii="Calibri" w:eastAsia="Calibri" w:hAnsi="Calibri" w:cs="Times New Roman"/>
          <w:lang w:eastAsia="fr-FR"/>
        </w:rPr>
        <w:t xml:space="preserve"> sur le produit ou le service acheté sont insérées. Le </w:t>
      </w:r>
      <w:r w:rsidRPr="00B3129A">
        <w:rPr>
          <w:rFonts w:ascii="Calibri" w:eastAsia="Calibri" w:hAnsi="Calibri" w:cs="Times New Roman"/>
          <w:b/>
          <w:lang w:eastAsia="fr-FR"/>
        </w:rPr>
        <w:t>cahier des charges</w:t>
      </w:r>
      <w:r w:rsidRPr="00B3129A">
        <w:rPr>
          <w:rFonts w:ascii="Calibri" w:eastAsia="Calibri" w:hAnsi="Calibri" w:cs="Times New Roman"/>
          <w:lang w:eastAsia="fr-FR"/>
        </w:rPr>
        <w:t xml:space="preserve"> demandent aux soumissionnaires de répondre à ces exigences et de fournir toute </w:t>
      </w:r>
      <w:r w:rsidRPr="00B3129A">
        <w:rPr>
          <w:rFonts w:ascii="Calibri" w:eastAsia="Calibri" w:hAnsi="Calibri" w:cs="Times New Roman"/>
          <w:b/>
          <w:lang w:eastAsia="fr-FR"/>
        </w:rPr>
        <w:t>preuve ou document permettant de lever ces risques</w:t>
      </w:r>
      <w:r w:rsidRPr="00B3129A">
        <w:rPr>
          <w:rFonts w:ascii="Calibri" w:eastAsia="Calibri" w:hAnsi="Calibri" w:cs="Times New Roman"/>
          <w:lang w:eastAsia="fr-FR"/>
        </w:rPr>
        <w:t>. D’autre part, le soumissionnaire peut être également sollicité et challengé lors des soutenances techniques sur ces problématiques : lorsqu’une famille d’achat est en risque fort, des soutenances dédiées à ces questions peuvent être mises en place afin de lever ces risques.</w:t>
      </w:r>
    </w:p>
    <w:p w:rsidR="00B3129A" w:rsidRPr="00D15F70" w:rsidRDefault="00B3129A" w:rsidP="008D572C">
      <w:pPr>
        <w:spacing w:before="60" w:after="60" w:line="240" w:lineRule="auto"/>
        <w:jc w:val="both"/>
        <w:rPr>
          <w:rFonts w:eastAsia="Times New Roman" w:cs="Times New Roman"/>
          <w:b/>
          <w:sz w:val="16"/>
          <w:szCs w:val="16"/>
          <w:lang w:eastAsia="fr-FR"/>
        </w:rPr>
      </w:pPr>
    </w:p>
    <w:p w:rsidR="00B3129A" w:rsidRDefault="00B3129A" w:rsidP="007408BA">
      <w:pPr>
        <w:numPr>
          <w:ilvl w:val="0"/>
          <w:numId w:val="3"/>
        </w:numPr>
        <w:shd w:val="clear" w:color="auto" w:fill="BFBFBF" w:themeFill="background1" w:themeFillShade="BF"/>
        <w:spacing w:before="60" w:after="60" w:line="240" w:lineRule="auto"/>
        <w:jc w:val="both"/>
        <w:rPr>
          <w:rFonts w:eastAsia="Times New Roman" w:cs="Times New Roman"/>
          <w:b/>
          <w:lang w:eastAsia="fr-FR"/>
        </w:rPr>
      </w:pPr>
      <w:r w:rsidRPr="00B3129A">
        <w:rPr>
          <w:rFonts w:eastAsia="Times New Roman" w:cs="Times New Roman"/>
          <w:b/>
          <w:lang w:eastAsia="fr-FR"/>
        </w:rPr>
        <w:t>Plans d’actions correctives</w:t>
      </w:r>
    </w:p>
    <w:p w:rsidR="007408BA" w:rsidRDefault="007408BA" w:rsidP="007408BA">
      <w:pPr>
        <w:shd w:val="clear" w:color="auto" w:fill="BFBFBF" w:themeFill="background1" w:themeFillShade="BF"/>
        <w:spacing w:before="60" w:after="60" w:line="240" w:lineRule="auto"/>
        <w:ind w:left="360"/>
        <w:jc w:val="both"/>
        <w:rPr>
          <w:rFonts w:eastAsia="Times New Roman" w:cs="Times New Roman"/>
          <w:b/>
          <w:lang w:eastAsia="fr-FR"/>
        </w:rPr>
      </w:pPr>
    </w:p>
    <w:p w:rsidR="00D15F70" w:rsidRPr="00D15F70" w:rsidRDefault="00D15F70" w:rsidP="00D15F70">
      <w:pPr>
        <w:spacing w:before="60" w:after="60" w:line="240" w:lineRule="auto"/>
        <w:ind w:left="720"/>
        <w:jc w:val="both"/>
        <w:rPr>
          <w:rFonts w:eastAsia="Times New Roman" w:cs="Times New Roman"/>
          <w:b/>
          <w:sz w:val="16"/>
          <w:szCs w:val="16"/>
          <w:lang w:eastAsia="fr-FR"/>
        </w:rPr>
      </w:pPr>
    </w:p>
    <w:p w:rsidR="00B3129A" w:rsidRPr="00B3129A" w:rsidRDefault="00B3129A" w:rsidP="008D572C">
      <w:pPr>
        <w:spacing w:before="60" w:after="60" w:line="240" w:lineRule="auto"/>
        <w:jc w:val="both"/>
        <w:rPr>
          <w:rFonts w:eastAsia="Times New Roman" w:cs="Times New Roman"/>
          <w:lang w:eastAsia="fr-FR"/>
        </w:rPr>
      </w:pPr>
      <w:r w:rsidRPr="00B3129A">
        <w:rPr>
          <w:rFonts w:eastAsia="Times New Roman" w:cs="Times New Roman"/>
          <w:lang w:eastAsia="fr-FR"/>
        </w:rPr>
        <w:t xml:space="preserve">Lorsque les résultats d’une évaluation sont jugés insatisfaisants, le fournisseur ou sous-traitant doit concevoir et mettre en œuvre des </w:t>
      </w:r>
      <w:r w:rsidRPr="00534032">
        <w:rPr>
          <w:rFonts w:eastAsia="Times New Roman" w:cs="Times New Roman"/>
          <w:b/>
          <w:lang w:eastAsia="fr-FR"/>
        </w:rPr>
        <w:t>plans d’action pour remédier aux faiblesses identifiées</w:t>
      </w:r>
      <w:r w:rsidRPr="00B3129A">
        <w:rPr>
          <w:rFonts w:eastAsia="Times New Roman" w:cs="Times New Roman"/>
          <w:lang w:eastAsia="fr-FR"/>
        </w:rPr>
        <w:t xml:space="preserve">. Les grandes entreprises les accompagnent dans ce processus d’amélioration, par exemple en organisant des sessions de formation réalisées par des </w:t>
      </w:r>
      <w:proofErr w:type="spellStart"/>
      <w:r w:rsidRPr="00B3129A">
        <w:rPr>
          <w:rFonts w:eastAsia="Times New Roman" w:cs="Times New Roman"/>
          <w:lang w:eastAsia="fr-FR"/>
        </w:rPr>
        <w:t>ONGs</w:t>
      </w:r>
      <w:proofErr w:type="spellEnd"/>
      <w:r w:rsidRPr="00B3129A">
        <w:rPr>
          <w:rFonts w:eastAsia="Times New Roman" w:cs="Times New Roman"/>
          <w:lang w:eastAsia="fr-FR"/>
        </w:rPr>
        <w:t xml:space="preserve"> locales. Dans le cas où un fournisseur ou sous-traitant non conforme ne souhaite ni mettre en place des actions correctives, ni s’engager à progresser, l’entreprise donneuse d’ordre peut être amenée à </w:t>
      </w:r>
      <w:r w:rsidRPr="00534032">
        <w:rPr>
          <w:rFonts w:eastAsia="Times New Roman" w:cs="Times New Roman"/>
          <w:b/>
          <w:lang w:eastAsia="fr-FR"/>
        </w:rPr>
        <w:t>rompre la relation</w:t>
      </w:r>
      <w:r w:rsidRPr="00B3129A">
        <w:rPr>
          <w:rFonts w:eastAsia="Times New Roman" w:cs="Times New Roman"/>
          <w:lang w:eastAsia="fr-FR"/>
        </w:rPr>
        <w:t xml:space="preserve">. </w:t>
      </w:r>
    </w:p>
    <w:p w:rsidR="00B3129A" w:rsidRPr="00D15F70" w:rsidRDefault="00B3129A" w:rsidP="008D572C">
      <w:pPr>
        <w:spacing w:before="60" w:after="60" w:line="240" w:lineRule="auto"/>
        <w:jc w:val="both"/>
        <w:rPr>
          <w:rFonts w:eastAsia="Times New Roman" w:cs="Times New Roman"/>
          <w:sz w:val="16"/>
          <w:szCs w:val="16"/>
          <w:lang w:eastAsia="fr-FR"/>
        </w:rPr>
      </w:pPr>
    </w:p>
    <w:p w:rsidR="00B3129A" w:rsidRDefault="00B3129A" w:rsidP="007408BA">
      <w:pPr>
        <w:numPr>
          <w:ilvl w:val="0"/>
          <w:numId w:val="3"/>
        </w:numPr>
        <w:shd w:val="clear" w:color="auto" w:fill="BFBFBF" w:themeFill="background1" w:themeFillShade="BF"/>
        <w:spacing w:before="60" w:after="60" w:line="240" w:lineRule="auto"/>
        <w:jc w:val="both"/>
        <w:rPr>
          <w:rFonts w:eastAsia="Times New Roman" w:cs="Times New Roman"/>
          <w:b/>
          <w:lang w:eastAsia="fr-FR"/>
        </w:rPr>
      </w:pPr>
      <w:r w:rsidRPr="00B3129A">
        <w:rPr>
          <w:rFonts w:eastAsia="Times New Roman" w:cs="Times New Roman"/>
          <w:b/>
          <w:lang w:eastAsia="fr-FR"/>
        </w:rPr>
        <w:t>Audits éthiques, sociaux et environnementaux externalisés</w:t>
      </w:r>
    </w:p>
    <w:p w:rsidR="007408BA" w:rsidRDefault="007408BA" w:rsidP="007408BA">
      <w:pPr>
        <w:shd w:val="clear" w:color="auto" w:fill="BFBFBF" w:themeFill="background1" w:themeFillShade="BF"/>
        <w:spacing w:before="60" w:after="60" w:line="240" w:lineRule="auto"/>
        <w:ind w:left="360"/>
        <w:jc w:val="both"/>
        <w:rPr>
          <w:rFonts w:eastAsia="Times New Roman" w:cs="Times New Roman"/>
          <w:b/>
          <w:lang w:eastAsia="fr-FR"/>
        </w:rPr>
      </w:pPr>
    </w:p>
    <w:p w:rsidR="00D15F70" w:rsidRPr="00D15F70" w:rsidRDefault="00D15F70" w:rsidP="00D15F70">
      <w:pPr>
        <w:spacing w:before="60" w:after="60" w:line="240" w:lineRule="auto"/>
        <w:ind w:left="720"/>
        <w:jc w:val="both"/>
        <w:rPr>
          <w:rFonts w:eastAsia="Times New Roman" w:cs="Times New Roman"/>
          <w:b/>
          <w:sz w:val="16"/>
          <w:szCs w:val="16"/>
          <w:lang w:eastAsia="fr-FR"/>
        </w:rPr>
      </w:pPr>
    </w:p>
    <w:p w:rsidR="00D15F70" w:rsidRDefault="00840377" w:rsidP="008D572C">
      <w:pPr>
        <w:spacing w:before="60" w:after="60" w:line="240" w:lineRule="auto"/>
        <w:jc w:val="both"/>
        <w:rPr>
          <w:rFonts w:ascii="Calibri" w:eastAsia="Calibri" w:hAnsi="Calibri" w:cs="Times New Roman"/>
          <w:lang w:eastAsia="fr-FR"/>
        </w:rPr>
      </w:pPr>
      <w:r>
        <w:rPr>
          <w:rFonts w:ascii="Calibri" w:eastAsia="Calibri" w:hAnsi="Calibri" w:cs="Times New Roman"/>
          <w:lang w:eastAsia="fr-FR"/>
        </w:rPr>
        <w:t xml:space="preserve">L’audit éthique est un </w:t>
      </w:r>
      <w:r w:rsidRPr="00D556AC">
        <w:rPr>
          <w:rFonts w:ascii="Calibri" w:eastAsia="Calibri" w:hAnsi="Calibri" w:cs="Times New Roman"/>
          <w:b/>
          <w:lang w:eastAsia="fr-FR"/>
        </w:rPr>
        <w:t>examen approfondi d’un site ou d’une société</w:t>
      </w:r>
      <w:r>
        <w:rPr>
          <w:rFonts w:ascii="Calibri" w:eastAsia="Calibri" w:hAnsi="Calibri" w:cs="Times New Roman"/>
          <w:lang w:eastAsia="fr-FR"/>
        </w:rPr>
        <w:t xml:space="preserve"> permettant de comprendre et de mesurer ses performances sociales et</w:t>
      </w:r>
      <w:r w:rsidR="00E9362B">
        <w:rPr>
          <w:rFonts w:ascii="Calibri" w:eastAsia="Calibri" w:hAnsi="Calibri" w:cs="Times New Roman"/>
          <w:lang w:eastAsia="fr-FR"/>
        </w:rPr>
        <w:t xml:space="preserve"> </w:t>
      </w:r>
      <w:r>
        <w:rPr>
          <w:rFonts w:ascii="Calibri" w:eastAsia="Calibri" w:hAnsi="Calibri" w:cs="Times New Roman"/>
          <w:lang w:eastAsia="fr-FR"/>
        </w:rPr>
        <w:t>/</w:t>
      </w:r>
      <w:r w:rsidR="00E9362B">
        <w:rPr>
          <w:rFonts w:ascii="Calibri" w:eastAsia="Calibri" w:hAnsi="Calibri" w:cs="Times New Roman"/>
          <w:lang w:eastAsia="fr-FR"/>
        </w:rPr>
        <w:t xml:space="preserve"> </w:t>
      </w:r>
      <w:r>
        <w:rPr>
          <w:rFonts w:ascii="Calibri" w:eastAsia="Calibri" w:hAnsi="Calibri" w:cs="Times New Roman"/>
          <w:lang w:eastAsia="fr-FR"/>
        </w:rPr>
        <w:t xml:space="preserve">ou environnementales. </w:t>
      </w:r>
      <w:r w:rsidR="0059292C">
        <w:rPr>
          <w:rFonts w:ascii="Calibri" w:eastAsia="Calibri" w:hAnsi="Calibri" w:cs="Times New Roman"/>
          <w:lang w:eastAsia="fr-FR"/>
        </w:rPr>
        <w:t>Les grandes entreprises se font auditer ainsi que leurs filiales.</w:t>
      </w:r>
      <w:r w:rsidR="00D15F70">
        <w:rPr>
          <w:rFonts w:ascii="Calibri" w:eastAsia="Calibri" w:hAnsi="Calibri" w:cs="Times New Roman"/>
          <w:lang w:eastAsia="fr-FR"/>
        </w:rPr>
        <w:t xml:space="preserve"> </w:t>
      </w:r>
    </w:p>
    <w:p w:rsidR="00D15F70" w:rsidRPr="00D15F70" w:rsidRDefault="00D15F70" w:rsidP="008D572C">
      <w:pPr>
        <w:spacing w:before="60" w:after="60" w:line="240" w:lineRule="auto"/>
        <w:jc w:val="both"/>
        <w:rPr>
          <w:rFonts w:ascii="Calibri" w:eastAsia="Calibri" w:hAnsi="Calibri" w:cs="Times New Roman"/>
          <w:sz w:val="16"/>
          <w:szCs w:val="16"/>
          <w:lang w:eastAsia="fr-FR"/>
        </w:rPr>
      </w:pPr>
    </w:p>
    <w:p w:rsidR="00B77D99" w:rsidRDefault="00D15F70" w:rsidP="008D572C">
      <w:pPr>
        <w:spacing w:before="60" w:after="60" w:line="240" w:lineRule="auto"/>
        <w:jc w:val="both"/>
        <w:rPr>
          <w:rFonts w:ascii="Calibri" w:eastAsia="Calibri" w:hAnsi="Calibri" w:cs="Times New Roman"/>
          <w:lang w:eastAsia="fr-FR"/>
        </w:rPr>
      </w:pPr>
      <w:r>
        <w:rPr>
          <w:rFonts w:ascii="Calibri" w:eastAsia="Calibri" w:hAnsi="Calibri" w:cs="Times New Roman"/>
          <w:lang w:eastAsia="fr-FR"/>
        </w:rPr>
        <w:t>En revanche, i</w:t>
      </w:r>
      <w:r w:rsidR="00D556AC">
        <w:rPr>
          <w:rFonts w:ascii="Calibri" w:eastAsia="Calibri" w:hAnsi="Calibri" w:cs="Times New Roman"/>
          <w:lang w:eastAsia="fr-FR"/>
        </w:rPr>
        <w:t xml:space="preserve">l est impossible de réaliser des audits approfondis auprès de tous les fournisseurs ou sous-traitants. Aussi, des audits nombreux mais peu approfondis risquent de ne pas toujours détecter des violations des droits humains dissimulées ou des comptabilités parallèles. </w:t>
      </w:r>
    </w:p>
    <w:p w:rsidR="00D556AC" w:rsidRPr="00D15F70" w:rsidRDefault="00D556AC" w:rsidP="008D572C">
      <w:pPr>
        <w:spacing w:before="60" w:after="60" w:line="240" w:lineRule="auto"/>
        <w:jc w:val="both"/>
        <w:rPr>
          <w:rFonts w:ascii="Calibri" w:eastAsia="Calibri" w:hAnsi="Calibri" w:cs="Times New Roman"/>
          <w:sz w:val="16"/>
          <w:szCs w:val="16"/>
          <w:lang w:eastAsia="fr-FR"/>
        </w:rPr>
      </w:pPr>
    </w:p>
    <w:p w:rsidR="00331EB5" w:rsidRPr="007408BA" w:rsidRDefault="00D556AC" w:rsidP="007408BA">
      <w:pPr>
        <w:spacing w:before="60" w:after="60" w:line="240" w:lineRule="auto"/>
        <w:jc w:val="both"/>
        <w:rPr>
          <w:rFonts w:ascii="Calibri" w:eastAsia="Calibri" w:hAnsi="Calibri" w:cs="Times New Roman"/>
          <w:lang w:eastAsia="fr-FR"/>
        </w:rPr>
      </w:pPr>
      <w:r>
        <w:rPr>
          <w:rFonts w:ascii="Calibri" w:eastAsia="Calibri" w:hAnsi="Calibri" w:cs="Times New Roman"/>
          <w:lang w:eastAsia="fr-FR"/>
        </w:rPr>
        <w:t xml:space="preserve">Les entreprises préfèrent pour ces raisons des </w:t>
      </w:r>
      <w:r w:rsidRPr="00D556AC">
        <w:rPr>
          <w:rFonts w:ascii="Calibri" w:eastAsia="Calibri" w:hAnsi="Calibri" w:cs="Times New Roman"/>
          <w:b/>
          <w:lang w:eastAsia="fr-FR"/>
        </w:rPr>
        <w:t>démarches d’audit ciblées</w:t>
      </w:r>
      <w:r>
        <w:rPr>
          <w:rFonts w:ascii="Calibri" w:eastAsia="Calibri" w:hAnsi="Calibri" w:cs="Times New Roman"/>
          <w:lang w:eastAsia="fr-FR"/>
        </w:rPr>
        <w:t xml:space="preserve"> sur les fournisseurs ou sous-traitants considérés comme les plus à risque suite à leur évaluation et compte tenu de la cartographie des risques. Ces audits approfondis sont plus couteux, mais aussi plus efficaces. Certaines entreprises du même secteur choisissent de mutualiser ces audits, permettant de couvrir ensemble un plus grand nombre de fournisseurs ou sous-traitants (voir ci-dessous). </w:t>
      </w:r>
      <w:bookmarkStart w:id="0" w:name="_GoBack"/>
      <w:bookmarkEnd w:id="0"/>
    </w:p>
    <w:p w:rsidR="00B3129A" w:rsidRDefault="00B3129A" w:rsidP="007408BA">
      <w:pPr>
        <w:numPr>
          <w:ilvl w:val="0"/>
          <w:numId w:val="3"/>
        </w:numPr>
        <w:shd w:val="clear" w:color="auto" w:fill="BFBFBF" w:themeFill="background1" w:themeFillShade="BF"/>
        <w:spacing w:before="120" w:after="120" w:line="240" w:lineRule="auto"/>
        <w:jc w:val="both"/>
        <w:rPr>
          <w:rFonts w:ascii="Calibri" w:eastAsia="Calibri" w:hAnsi="Calibri" w:cs="Times New Roman"/>
          <w:b/>
          <w:lang w:eastAsia="fr-FR"/>
        </w:rPr>
      </w:pPr>
      <w:r w:rsidRPr="00B3129A">
        <w:rPr>
          <w:rFonts w:ascii="Calibri" w:eastAsia="Calibri" w:hAnsi="Calibri" w:cs="Times New Roman"/>
          <w:b/>
          <w:lang w:eastAsia="fr-FR"/>
        </w:rPr>
        <w:lastRenderedPageBreak/>
        <w:t xml:space="preserve">Initiatives </w:t>
      </w:r>
      <w:r w:rsidR="001D6CAD">
        <w:rPr>
          <w:rFonts w:ascii="Calibri" w:eastAsia="Calibri" w:hAnsi="Calibri" w:cs="Times New Roman"/>
          <w:b/>
          <w:lang w:eastAsia="fr-FR"/>
        </w:rPr>
        <w:t>collectives</w:t>
      </w:r>
      <w:r w:rsidR="001D6CAD" w:rsidRPr="00B3129A">
        <w:rPr>
          <w:rFonts w:ascii="Calibri" w:eastAsia="Calibri" w:hAnsi="Calibri" w:cs="Times New Roman"/>
          <w:b/>
          <w:lang w:eastAsia="fr-FR"/>
        </w:rPr>
        <w:t xml:space="preserve"> </w:t>
      </w:r>
      <w:r w:rsidR="001D6CAD">
        <w:rPr>
          <w:rFonts w:ascii="Calibri" w:eastAsia="Calibri" w:hAnsi="Calibri" w:cs="Times New Roman"/>
          <w:b/>
          <w:lang w:eastAsia="fr-FR"/>
        </w:rPr>
        <w:t xml:space="preserve">ou </w:t>
      </w:r>
      <w:r w:rsidRPr="00B3129A">
        <w:rPr>
          <w:rFonts w:ascii="Calibri" w:eastAsia="Calibri" w:hAnsi="Calibri" w:cs="Times New Roman"/>
          <w:b/>
          <w:lang w:eastAsia="fr-FR"/>
        </w:rPr>
        <w:t>sectorielles</w:t>
      </w:r>
      <w:r w:rsidR="00534032">
        <w:rPr>
          <w:rFonts w:ascii="Calibri" w:eastAsia="Calibri" w:hAnsi="Calibri" w:cs="Times New Roman"/>
          <w:b/>
          <w:lang w:eastAsia="fr-FR"/>
        </w:rPr>
        <w:t xml:space="preserve"> </w:t>
      </w:r>
    </w:p>
    <w:p w:rsidR="007408BA" w:rsidRDefault="007408BA" w:rsidP="007408BA">
      <w:pPr>
        <w:shd w:val="clear" w:color="auto" w:fill="BFBFBF" w:themeFill="background1" w:themeFillShade="BF"/>
        <w:spacing w:before="120" w:after="120" w:line="240" w:lineRule="auto"/>
        <w:ind w:left="360"/>
        <w:jc w:val="both"/>
        <w:rPr>
          <w:rFonts w:ascii="Calibri" w:eastAsia="Calibri" w:hAnsi="Calibri" w:cs="Times New Roman"/>
          <w:b/>
          <w:lang w:eastAsia="fr-FR"/>
        </w:rPr>
      </w:pPr>
    </w:p>
    <w:p w:rsidR="00331EB5" w:rsidRPr="000C2907" w:rsidRDefault="00331EB5" w:rsidP="000C2907">
      <w:pPr>
        <w:spacing w:before="60" w:after="60" w:line="240" w:lineRule="auto"/>
        <w:ind w:left="720"/>
        <w:jc w:val="both"/>
        <w:rPr>
          <w:rFonts w:eastAsia="Times New Roman" w:cs="Times New Roman"/>
          <w:b/>
          <w:sz w:val="16"/>
          <w:szCs w:val="16"/>
          <w:lang w:eastAsia="fr-FR"/>
        </w:rPr>
      </w:pPr>
    </w:p>
    <w:p w:rsidR="00B3129A" w:rsidRPr="00B3129A" w:rsidRDefault="00B3129A" w:rsidP="007E24A5">
      <w:pPr>
        <w:spacing w:before="120" w:after="120" w:line="240" w:lineRule="auto"/>
        <w:jc w:val="both"/>
        <w:rPr>
          <w:rFonts w:ascii="Calibri" w:eastAsia="Calibri" w:hAnsi="Calibri" w:cs="Times New Roman"/>
          <w:lang w:eastAsia="fr-FR"/>
        </w:rPr>
      </w:pPr>
      <w:r w:rsidRPr="00B3129A">
        <w:rPr>
          <w:rFonts w:ascii="Calibri" w:eastAsia="Calibri" w:hAnsi="Calibri" w:cs="Times New Roman"/>
          <w:lang w:eastAsia="fr-FR"/>
        </w:rPr>
        <w:t xml:space="preserve">De nombreuses initiatives </w:t>
      </w:r>
      <w:r w:rsidR="001D6CAD">
        <w:rPr>
          <w:rFonts w:ascii="Calibri" w:eastAsia="Calibri" w:hAnsi="Calibri" w:cs="Times New Roman"/>
          <w:lang w:eastAsia="fr-FR"/>
        </w:rPr>
        <w:t xml:space="preserve">collectives ou </w:t>
      </w:r>
      <w:r w:rsidRPr="00B3129A">
        <w:rPr>
          <w:rFonts w:ascii="Calibri" w:eastAsia="Calibri" w:hAnsi="Calibri" w:cs="Times New Roman"/>
          <w:lang w:eastAsia="fr-FR"/>
        </w:rPr>
        <w:t xml:space="preserve">sectorielles existent pour améliorer le respect des principes de RSE tout au long de la chaîne de valeur. A titre d’exemple, les initiatives suivantes peuvent être citées :  </w:t>
      </w:r>
    </w:p>
    <w:p w:rsidR="00B3129A" w:rsidRPr="00B3129A" w:rsidRDefault="00B3129A" w:rsidP="001D6CAD">
      <w:pPr>
        <w:numPr>
          <w:ilvl w:val="0"/>
          <w:numId w:val="4"/>
        </w:numPr>
        <w:spacing w:after="120" w:line="240" w:lineRule="auto"/>
        <w:ind w:left="426" w:hanging="426"/>
        <w:jc w:val="both"/>
        <w:rPr>
          <w:rFonts w:ascii="Calibri" w:eastAsia="Calibri" w:hAnsi="Calibri" w:cs="Times New Roman"/>
        </w:rPr>
      </w:pPr>
      <w:r w:rsidRPr="00B3129A">
        <w:rPr>
          <w:rFonts w:ascii="Calibri" w:eastAsia="Calibri" w:hAnsi="Calibri" w:cs="Times New Roman"/>
        </w:rPr>
        <w:t xml:space="preserve">le </w:t>
      </w:r>
      <w:r w:rsidRPr="00B3129A">
        <w:rPr>
          <w:rFonts w:ascii="Calibri" w:eastAsia="Calibri" w:hAnsi="Calibri" w:cs="Times New Roman"/>
          <w:b/>
        </w:rPr>
        <w:t>Global Social Compliance Programme</w:t>
      </w:r>
      <w:r w:rsidRPr="00B3129A">
        <w:rPr>
          <w:rFonts w:ascii="Calibri" w:eastAsia="Calibri" w:hAnsi="Calibri" w:cs="Times New Roman"/>
        </w:rPr>
        <w:t xml:space="preserve"> GSCP (</w:t>
      </w:r>
      <w:hyperlink r:id="rId9" w:history="1">
        <w:r w:rsidRPr="00B3129A">
          <w:rPr>
            <w:rFonts w:ascii="Calibri" w:eastAsia="Calibri" w:hAnsi="Calibri" w:cs="Times New Roman"/>
            <w:color w:val="0000FF"/>
            <w:u w:val="single"/>
          </w:rPr>
          <w:t>http://www.gscpnet.com/</w:t>
        </w:r>
      </w:hyperlink>
      <w:r w:rsidRPr="00B3129A">
        <w:rPr>
          <w:rFonts w:ascii="Calibri" w:eastAsia="Calibri" w:hAnsi="Calibri" w:cs="Times New Roman"/>
        </w:rPr>
        <w:t xml:space="preserve"> ), orienté "audit fournisseur", qui rassemble 39 distributeurs ou donneurs d'ordre, pour construire les standards d'audit, partager les résultats, et stimuler l’appropriation des solutions et leur mise en œuvre par les fournisseurs eux-mêmes pour remédier aux causes profondes des non-conformités en matière sociale et environnementale ;</w:t>
      </w:r>
    </w:p>
    <w:p w:rsidR="00B3129A" w:rsidRPr="00B3129A" w:rsidRDefault="00B3129A" w:rsidP="001D6CAD">
      <w:pPr>
        <w:numPr>
          <w:ilvl w:val="0"/>
          <w:numId w:val="4"/>
        </w:numPr>
        <w:spacing w:after="120" w:line="240" w:lineRule="auto"/>
        <w:ind w:left="426" w:hanging="426"/>
        <w:jc w:val="both"/>
        <w:rPr>
          <w:rFonts w:ascii="Calibri" w:eastAsia="Calibri" w:hAnsi="Calibri" w:cs="Times New Roman"/>
        </w:rPr>
      </w:pPr>
      <w:r w:rsidRPr="00B3129A">
        <w:rPr>
          <w:rFonts w:ascii="Calibri" w:eastAsia="Calibri" w:hAnsi="Calibri" w:cs="Times New Roman"/>
        </w:rPr>
        <w:t xml:space="preserve">le </w:t>
      </w:r>
      <w:r w:rsidRPr="00B3129A">
        <w:rPr>
          <w:rFonts w:ascii="Calibri" w:eastAsia="Calibri" w:hAnsi="Calibri" w:cs="Times New Roman"/>
          <w:b/>
        </w:rPr>
        <w:t>Business Social Compliance Initiative</w:t>
      </w:r>
      <w:r w:rsidRPr="00B3129A">
        <w:rPr>
          <w:rFonts w:ascii="Calibri" w:eastAsia="Calibri" w:hAnsi="Calibri" w:cs="Times New Roman"/>
        </w:rPr>
        <w:t xml:space="preserve"> BSCI (</w:t>
      </w:r>
      <w:hyperlink r:id="rId10" w:history="1">
        <w:r w:rsidRPr="00B3129A">
          <w:rPr>
            <w:rFonts w:ascii="Calibri" w:eastAsia="Calibri" w:hAnsi="Calibri" w:cs="Times New Roman"/>
            <w:color w:val="0000FF"/>
            <w:u w:val="single"/>
          </w:rPr>
          <w:t>http://www.bsci-intl.org/</w:t>
        </w:r>
      </w:hyperlink>
      <w:r w:rsidRPr="00B3129A">
        <w:rPr>
          <w:rFonts w:ascii="Calibri" w:eastAsia="Calibri" w:hAnsi="Calibri" w:cs="Times New Roman"/>
        </w:rPr>
        <w:t xml:space="preserve"> ) lancée en 2003 qui réunit plus de 1000 entreprises qui s’engagent à respecter un code de conduite pour construire une chaine d’approvisionnement éthique ;</w:t>
      </w:r>
    </w:p>
    <w:p w:rsidR="00B3129A" w:rsidRPr="00B3129A" w:rsidRDefault="00B3129A" w:rsidP="001D6CAD">
      <w:pPr>
        <w:numPr>
          <w:ilvl w:val="0"/>
          <w:numId w:val="4"/>
        </w:numPr>
        <w:spacing w:after="120" w:line="240" w:lineRule="auto"/>
        <w:ind w:left="426" w:hanging="426"/>
        <w:jc w:val="both"/>
        <w:rPr>
          <w:rFonts w:ascii="Calibri" w:eastAsia="Calibri" w:hAnsi="Calibri" w:cs="Times New Roman"/>
        </w:rPr>
      </w:pPr>
      <w:r w:rsidRPr="00B3129A">
        <w:rPr>
          <w:rFonts w:ascii="Calibri" w:eastAsia="Calibri" w:hAnsi="Calibri" w:cs="Times New Roman"/>
        </w:rPr>
        <w:t>l</w:t>
      </w:r>
      <w:r w:rsidRPr="00B3129A">
        <w:rPr>
          <w:rFonts w:ascii="Calibri" w:eastAsia="Calibri" w:hAnsi="Calibri" w:cs="Times New Roman"/>
          <w:b/>
        </w:rPr>
        <w:t>'Initiative Clause Sociale</w:t>
      </w:r>
      <w:r w:rsidRPr="00B3129A">
        <w:rPr>
          <w:rFonts w:ascii="Calibri" w:eastAsia="Calibri" w:hAnsi="Calibri" w:cs="Times New Roman"/>
        </w:rPr>
        <w:t xml:space="preserve"> ICS</w:t>
      </w:r>
      <w:r w:rsidR="001A45EA">
        <w:rPr>
          <w:rFonts w:ascii="Calibri" w:eastAsia="Calibri" w:hAnsi="Calibri" w:cs="Times New Roman"/>
        </w:rPr>
        <w:t xml:space="preserve"> </w:t>
      </w:r>
      <w:r w:rsidR="001A45EA">
        <w:rPr>
          <w:rFonts w:ascii="Arial" w:eastAsia="Times New Roman" w:hAnsi="Arial" w:cs="Arial"/>
          <w:color w:val="4A4646"/>
          <w:sz w:val="20"/>
          <w:szCs w:val="20"/>
          <w:lang w:eastAsia="fr-FR"/>
        </w:rPr>
        <w:t>(</w:t>
      </w:r>
      <w:hyperlink r:id="rId11" w:history="1">
        <w:r w:rsidR="001A45EA" w:rsidRPr="00AF1E8E">
          <w:rPr>
            <w:rStyle w:val="Lienhypertexte"/>
            <w:rFonts w:ascii="Arial" w:eastAsia="Times New Roman" w:hAnsi="Arial" w:cs="Arial"/>
            <w:sz w:val="20"/>
            <w:szCs w:val="20"/>
            <w:lang w:eastAsia="fr-FR"/>
          </w:rPr>
          <w:t>http://www.ics-</w:t>
        </w:r>
        <w:r w:rsidR="001A45EA" w:rsidRPr="00AF1E8E">
          <w:rPr>
            <w:rStyle w:val="Lienhypertexte"/>
            <w:rFonts w:ascii="Arial" w:eastAsia="Times New Roman" w:hAnsi="Arial" w:cs="Arial"/>
            <w:sz w:val="20"/>
            <w:szCs w:val="20"/>
            <w:lang w:eastAsia="fr-FR"/>
          </w:rPr>
          <w:t>a</w:t>
        </w:r>
        <w:r w:rsidR="001A45EA" w:rsidRPr="00AF1E8E">
          <w:rPr>
            <w:rStyle w:val="Lienhypertexte"/>
            <w:rFonts w:ascii="Arial" w:eastAsia="Times New Roman" w:hAnsi="Arial" w:cs="Arial"/>
            <w:sz w:val="20"/>
            <w:szCs w:val="20"/>
            <w:lang w:eastAsia="fr-FR"/>
          </w:rPr>
          <w:t>sso.org</w:t>
        </w:r>
      </w:hyperlink>
      <w:r w:rsidR="001A45EA">
        <w:rPr>
          <w:rFonts w:ascii="Calibri" w:eastAsia="Calibri" w:hAnsi="Calibri" w:cs="Times New Roman"/>
        </w:rPr>
        <w:t xml:space="preserve">) </w:t>
      </w:r>
      <w:r w:rsidRPr="00B3129A">
        <w:rPr>
          <w:rFonts w:ascii="Calibri" w:eastAsia="Calibri" w:hAnsi="Calibri" w:cs="Times New Roman"/>
        </w:rPr>
        <w:t>qui réunit 15 marques pour encourager les fournisseurs à respecter les principes de droits de l’homme et de l’OIT ; cette initiative comporte un code éthique, la formation, des audits, des questionnaires, des guides d’application, des plans d’actions correctives, des procédures d’alerte, des bases de données, et la publication annuelle des résultats ;</w:t>
      </w:r>
    </w:p>
    <w:p w:rsidR="00B3129A" w:rsidRPr="00B3129A" w:rsidRDefault="00534032" w:rsidP="001D6CAD">
      <w:pPr>
        <w:numPr>
          <w:ilvl w:val="0"/>
          <w:numId w:val="4"/>
        </w:numPr>
        <w:spacing w:after="120" w:line="240" w:lineRule="auto"/>
        <w:ind w:left="426" w:hanging="426"/>
        <w:jc w:val="both"/>
        <w:rPr>
          <w:rFonts w:ascii="Calibri" w:eastAsia="Calibri" w:hAnsi="Calibri" w:cs="Times New Roman"/>
        </w:rPr>
      </w:pPr>
      <w:r>
        <w:rPr>
          <w:rFonts w:ascii="Calibri" w:eastAsia="Calibri" w:hAnsi="Calibri" w:cs="Times New Roman"/>
        </w:rPr>
        <w:t>la</w:t>
      </w:r>
      <w:r w:rsidR="00B3129A" w:rsidRPr="00B3129A">
        <w:rPr>
          <w:rFonts w:ascii="Calibri" w:eastAsia="Calibri" w:hAnsi="Calibri" w:cs="Times New Roman"/>
        </w:rPr>
        <w:t xml:space="preserve"> </w:t>
      </w:r>
      <w:r w:rsidR="00B3129A" w:rsidRPr="00B3129A">
        <w:rPr>
          <w:rFonts w:ascii="Calibri" w:eastAsia="Calibri" w:hAnsi="Calibri" w:cs="Times New Roman"/>
          <w:b/>
        </w:rPr>
        <w:t xml:space="preserve">Joint Audit </w:t>
      </w:r>
      <w:proofErr w:type="spellStart"/>
      <w:r w:rsidR="00B3129A" w:rsidRPr="00B3129A">
        <w:rPr>
          <w:rFonts w:ascii="Calibri" w:eastAsia="Calibri" w:hAnsi="Calibri" w:cs="Times New Roman"/>
          <w:b/>
        </w:rPr>
        <w:t>Cooperation</w:t>
      </w:r>
      <w:proofErr w:type="spellEnd"/>
      <w:r w:rsidR="00B3129A" w:rsidRPr="00B3129A">
        <w:rPr>
          <w:rFonts w:ascii="Calibri" w:eastAsia="Calibri" w:hAnsi="Calibri" w:cs="Times New Roman"/>
          <w:b/>
        </w:rPr>
        <w:t xml:space="preserve"> JAC</w:t>
      </w:r>
      <w:r>
        <w:rPr>
          <w:rFonts w:ascii="Calibri" w:eastAsia="Calibri" w:hAnsi="Calibri" w:cs="Times New Roman"/>
        </w:rPr>
        <w:t xml:space="preserve"> </w:t>
      </w:r>
      <w:r w:rsidR="001A45EA">
        <w:rPr>
          <w:rFonts w:ascii="Calibri" w:eastAsia="Calibri" w:hAnsi="Calibri" w:cs="Times New Roman"/>
        </w:rPr>
        <w:t>(</w:t>
      </w:r>
      <w:hyperlink r:id="rId12" w:history="1">
        <w:r w:rsidR="001A45EA" w:rsidRPr="00AF1E8E">
          <w:rPr>
            <w:rStyle w:val="Lienhypertexte"/>
            <w:rFonts w:ascii="Arial" w:eastAsia="Times New Roman" w:hAnsi="Arial" w:cs="Arial"/>
            <w:sz w:val="20"/>
            <w:szCs w:val="20"/>
            <w:lang w:eastAsia="fr-FR"/>
          </w:rPr>
          <w:t>http://www.csreurope.</w:t>
        </w:r>
        <w:r w:rsidR="001A45EA" w:rsidRPr="00AF1E8E">
          <w:rPr>
            <w:rStyle w:val="Lienhypertexte"/>
            <w:rFonts w:ascii="Arial" w:eastAsia="Times New Roman" w:hAnsi="Arial" w:cs="Arial"/>
            <w:sz w:val="20"/>
            <w:szCs w:val="20"/>
            <w:lang w:eastAsia="fr-FR"/>
          </w:rPr>
          <w:t>o</w:t>
        </w:r>
        <w:r w:rsidR="001A45EA" w:rsidRPr="00AF1E8E">
          <w:rPr>
            <w:rStyle w:val="Lienhypertexte"/>
            <w:rFonts w:ascii="Arial" w:eastAsia="Times New Roman" w:hAnsi="Arial" w:cs="Arial"/>
            <w:sz w:val="20"/>
            <w:szCs w:val="20"/>
            <w:lang w:eastAsia="fr-FR"/>
          </w:rPr>
          <w:t>r</w:t>
        </w:r>
        <w:r w:rsidR="001A45EA" w:rsidRPr="00AF1E8E">
          <w:rPr>
            <w:rStyle w:val="Lienhypertexte"/>
            <w:rFonts w:ascii="Arial" w:eastAsia="Times New Roman" w:hAnsi="Arial" w:cs="Arial"/>
            <w:sz w:val="20"/>
            <w:szCs w:val="20"/>
            <w:lang w:eastAsia="fr-FR"/>
          </w:rPr>
          <w:t>g</w:t>
        </w:r>
        <w:r w:rsidR="001A45EA" w:rsidRPr="00AF1E8E">
          <w:rPr>
            <w:rStyle w:val="Lienhypertexte"/>
            <w:rFonts w:ascii="Arial" w:eastAsia="Times New Roman" w:hAnsi="Arial" w:cs="Arial"/>
            <w:sz w:val="20"/>
            <w:szCs w:val="20"/>
            <w:lang w:eastAsia="fr-FR"/>
          </w:rPr>
          <w:t>/joint-audit-cooperation-jac</w:t>
        </w:r>
      </w:hyperlink>
      <w:r w:rsidR="001A45EA">
        <w:rPr>
          <w:rFonts w:ascii="Calibri" w:eastAsia="Calibri" w:hAnsi="Calibri" w:cs="Times New Roman"/>
        </w:rPr>
        <w:t xml:space="preserve">) </w:t>
      </w:r>
      <w:r>
        <w:rPr>
          <w:rFonts w:ascii="Calibri" w:eastAsia="Calibri" w:hAnsi="Calibri" w:cs="Times New Roman"/>
        </w:rPr>
        <w:t>associe 9</w:t>
      </w:r>
      <w:r w:rsidR="00B3129A" w:rsidRPr="00B3129A">
        <w:rPr>
          <w:rFonts w:ascii="Calibri" w:eastAsia="Calibri" w:hAnsi="Calibri" w:cs="Times New Roman"/>
        </w:rPr>
        <w:t xml:space="preserve"> opérateurs des télécommunications</w:t>
      </w:r>
      <w:r w:rsidR="00B3129A" w:rsidRPr="00B3129A">
        <w:rPr>
          <w:rFonts w:ascii="Calibri" w:eastAsia="Calibri" w:hAnsi="Calibri" w:cs="Times New Roman"/>
          <w:vertAlign w:val="superscript"/>
        </w:rPr>
        <w:footnoteReference w:id="3"/>
      </w:r>
      <w:r w:rsidR="00B3129A" w:rsidRPr="00B3129A">
        <w:rPr>
          <w:rFonts w:ascii="Calibri" w:eastAsia="Calibri" w:hAnsi="Calibri" w:cs="Times New Roman"/>
        </w:rPr>
        <w:t xml:space="preserve"> pour vérifier, évaluer et développer la mise en œuvre de la RSE chez leurs plus importants fournisseurs multinationaux. Ils partagent les ressources et les meilleurs pratiques pour développer à long terme la mise en œuvre de la RSE dans les différents maillons de la chaîne logistique. Il faut avoir signé un contrat avec une entreprise d’audit tierce partie, </w:t>
      </w:r>
      <w:r>
        <w:rPr>
          <w:rFonts w:ascii="Calibri" w:eastAsia="Calibri" w:hAnsi="Calibri" w:cs="Times New Roman"/>
        </w:rPr>
        <w:t>ainsi qu’</w:t>
      </w:r>
      <w:r w:rsidR="00B3129A" w:rsidRPr="00B3129A">
        <w:rPr>
          <w:rFonts w:ascii="Calibri" w:eastAsia="Calibri" w:hAnsi="Calibri" w:cs="Times New Roman"/>
        </w:rPr>
        <w:t>un contrat avec un fournisseur commun avec au moins 2 membres du JAC. Fin 2012 plus de 50 audits ont été réalisés auprès de fournisseurs en Ch</w:t>
      </w:r>
      <w:r>
        <w:rPr>
          <w:rFonts w:ascii="Calibri" w:eastAsia="Calibri" w:hAnsi="Calibri" w:cs="Times New Roman"/>
        </w:rPr>
        <w:t>ine, Taiwan, Inde, Corée du Sud etc. ;</w:t>
      </w:r>
    </w:p>
    <w:p w:rsidR="00B3129A" w:rsidRPr="00534032" w:rsidRDefault="00534032" w:rsidP="001D6CAD">
      <w:pPr>
        <w:numPr>
          <w:ilvl w:val="0"/>
          <w:numId w:val="4"/>
        </w:numPr>
        <w:spacing w:after="120" w:line="240" w:lineRule="auto"/>
        <w:ind w:left="426" w:hanging="426"/>
        <w:jc w:val="both"/>
        <w:rPr>
          <w:rFonts w:ascii="Calibri" w:eastAsia="Calibri" w:hAnsi="Calibri" w:cs="Times New Roman"/>
        </w:rPr>
      </w:pPr>
      <w:r>
        <w:rPr>
          <w:rFonts w:ascii="Calibri" w:eastAsia="Calibri" w:hAnsi="Calibri" w:cs="Times New Roman"/>
        </w:rPr>
        <w:t>l</w:t>
      </w:r>
      <w:r w:rsidR="00B3129A" w:rsidRPr="00534032">
        <w:rPr>
          <w:rFonts w:ascii="Calibri" w:eastAsia="Calibri" w:hAnsi="Calibri" w:cs="Times New Roman"/>
        </w:rPr>
        <w:t xml:space="preserve">’initiative </w:t>
      </w:r>
      <w:r w:rsidR="00B3129A" w:rsidRPr="00F66AD2">
        <w:rPr>
          <w:rFonts w:ascii="Calibri" w:eastAsia="Calibri" w:hAnsi="Calibri" w:cs="Times New Roman"/>
          <w:b/>
        </w:rPr>
        <w:t xml:space="preserve">Business and </w:t>
      </w:r>
      <w:proofErr w:type="spellStart"/>
      <w:r w:rsidR="00B3129A" w:rsidRPr="00F66AD2">
        <w:rPr>
          <w:rFonts w:ascii="Calibri" w:eastAsia="Calibri" w:hAnsi="Calibri" w:cs="Times New Roman"/>
          <w:b/>
        </w:rPr>
        <w:t>Hu</w:t>
      </w:r>
      <w:r w:rsidR="00F66AD2" w:rsidRPr="00F66AD2">
        <w:rPr>
          <w:rFonts w:ascii="Calibri" w:eastAsia="Calibri" w:hAnsi="Calibri" w:cs="Times New Roman"/>
          <w:b/>
        </w:rPr>
        <w:t>man</w:t>
      </w:r>
      <w:proofErr w:type="spellEnd"/>
      <w:r w:rsidR="00F66AD2" w:rsidRPr="00F66AD2">
        <w:rPr>
          <w:rFonts w:ascii="Calibri" w:eastAsia="Calibri" w:hAnsi="Calibri" w:cs="Times New Roman"/>
          <w:b/>
        </w:rPr>
        <w:t xml:space="preserve"> </w:t>
      </w:r>
      <w:proofErr w:type="spellStart"/>
      <w:r w:rsidR="00F66AD2" w:rsidRPr="00F66AD2">
        <w:rPr>
          <w:rFonts w:ascii="Calibri" w:eastAsia="Calibri" w:hAnsi="Calibri" w:cs="Times New Roman"/>
          <w:b/>
        </w:rPr>
        <w:t>Rights</w:t>
      </w:r>
      <w:proofErr w:type="spellEnd"/>
      <w:r w:rsidR="00F66AD2" w:rsidRPr="00F66AD2">
        <w:rPr>
          <w:rFonts w:ascii="Calibri" w:eastAsia="Calibri" w:hAnsi="Calibri" w:cs="Times New Roman"/>
          <w:b/>
        </w:rPr>
        <w:t xml:space="preserve"> Project</w:t>
      </w:r>
      <w:r w:rsidR="00B3129A" w:rsidRPr="00534032">
        <w:rPr>
          <w:rFonts w:ascii="Calibri" w:eastAsia="Calibri" w:hAnsi="Calibri" w:cs="Times New Roman"/>
          <w:b/>
        </w:rPr>
        <w:t xml:space="preserve"> </w:t>
      </w:r>
      <w:r w:rsidR="00B3129A" w:rsidRPr="00534032">
        <w:rPr>
          <w:rFonts w:ascii="Calibri" w:eastAsia="Calibri" w:hAnsi="Calibri" w:cs="Times New Roman"/>
        </w:rPr>
        <w:t>lancée en 2011 par l’IPIECA  (</w:t>
      </w:r>
      <w:hyperlink r:id="rId13" w:history="1">
        <w:r w:rsidRPr="00492897">
          <w:rPr>
            <w:rStyle w:val="Lienhypertexte"/>
            <w:rFonts w:ascii="Calibri" w:eastAsia="Calibri" w:hAnsi="Calibri" w:cs="Times New Roman"/>
          </w:rPr>
          <w:t>www</w:t>
        </w:r>
        <w:r w:rsidRPr="00492897">
          <w:rPr>
            <w:rStyle w:val="Lienhypertexte"/>
            <w:rFonts w:ascii="Calibri" w:eastAsia="Calibri" w:hAnsi="Calibri" w:cs="Times New Roman"/>
          </w:rPr>
          <w:t>.</w:t>
        </w:r>
        <w:r w:rsidRPr="00492897">
          <w:rPr>
            <w:rStyle w:val="Lienhypertexte"/>
            <w:rFonts w:ascii="Calibri" w:eastAsia="Calibri" w:hAnsi="Calibri" w:cs="Times New Roman"/>
          </w:rPr>
          <w:t>ipieca.</w:t>
        </w:r>
        <w:r w:rsidRPr="00492897">
          <w:rPr>
            <w:rStyle w:val="Lienhypertexte"/>
            <w:rFonts w:ascii="Calibri" w:eastAsia="Calibri" w:hAnsi="Calibri" w:cs="Times New Roman"/>
          </w:rPr>
          <w:t>o</w:t>
        </w:r>
        <w:r w:rsidRPr="00492897">
          <w:rPr>
            <w:rStyle w:val="Lienhypertexte"/>
            <w:rFonts w:ascii="Calibri" w:eastAsia="Calibri" w:hAnsi="Calibri" w:cs="Times New Roman"/>
          </w:rPr>
          <w:t>rg</w:t>
        </w:r>
        <w:r w:rsidRPr="00492897">
          <w:rPr>
            <w:rStyle w:val="Lienhypertexte"/>
            <w:rFonts w:ascii="Calibri" w:eastAsia="Calibri" w:hAnsi="Calibri" w:cs="Times New Roman"/>
          </w:rPr>
          <w:t>/</w:t>
        </w:r>
        <w:r w:rsidRPr="00492897">
          <w:rPr>
            <w:rStyle w:val="Lienhypertexte"/>
            <w:rFonts w:ascii="Calibri" w:eastAsia="Calibri" w:hAnsi="Calibri" w:cs="Times New Roman"/>
          </w:rPr>
          <w:t>human-rights</w:t>
        </w:r>
      </w:hyperlink>
      <w:r>
        <w:rPr>
          <w:rFonts w:ascii="Calibri" w:eastAsia="Calibri" w:hAnsi="Calibri" w:cs="Times New Roman"/>
        </w:rPr>
        <w:t xml:space="preserve"> </w:t>
      </w:r>
      <w:r w:rsidR="00B3129A" w:rsidRPr="00534032">
        <w:rPr>
          <w:rFonts w:ascii="Calibri" w:eastAsia="Calibri" w:hAnsi="Calibri" w:cs="Times New Roman"/>
        </w:rPr>
        <w:t>);</w:t>
      </w:r>
      <w:r w:rsidRPr="00534032">
        <w:rPr>
          <w:rFonts w:ascii="Calibri" w:eastAsia="Calibri" w:hAnsi="Calibri" w:cs="Times New Roman"/>
        </w:rPr>
        <w:t xml:space="preserve"> </w:t>
      </w:r>
      <w:r>
        <w:rPr>
          <w:rFonts w:ascii="Calibri" w:eastAsia="Calibri" w:hAnsi="Calibri" w:cs="Times New Roman"/>
        </w:rPr>
        <w:t>publication d’</w:t>
      </w:r>
      <w:r w:rsidRPr="00534032">
        <w:rPr>
          <w:rFonts w:ascii="Calibri" w:eastAsia="Calibri" w:hAnsi="Calibri" w:cs="Times New Roman"/>
        </w:rPr>
        <w:t xml:space="preserve">un guide pratique </w:t>
      </w:r>
      <w:r>
        <w:rPr>
          <w:rFonts w:ascii="Calibri" w:eastAsia="Calibri" w:hAnsi="Calibri" w:cs="Times New Roman"/>
        </w:rPr>
        <w:t xml:space="preserve">de mise en œuvre à l’intention des compagnies pétrolières et gazières intitulé </w:t>
      </w:r>
      <w:r w:rsidRPr="00534032">
        <w:rPr>
          <w:rFonts w:ascii="Calibri" w:eastAsia="Calibri" w:hAnsi="Calibri" w:cs="Times New Roman"/>
        </w:rPr>
        <w:t>“Pro</w:t>
      </w:r>
      <w:r>
        <w:rPr>
          <w:rFonts w:ascii="Calibri" w:eastAsia="Calibri" w:hAnsi="Calibri" w:cs="Times New Roman"/>
        </w:rPr>
        <w:t xml:space="preserve">cessus de diligence raisonnable en matière de droits de l’homme » ; </w:t>
      </w:r>
    </w:p>
    <w:p w:rsidR="00B3129A" w:rsidRPr="001A45EA" w:rsidRDefault="00B3129A" w:rsidP="001D6CAD">
      <w:pPr>
        <w:numPr>
          <w:ilvl w:val="0"/>
          <w:numId w:val="4"/>
        </w:numPr>
        <w:spacing w:after="120" w:line="240" w:lineRule="auto"/>
        <w:ind w:left="426" w:hanging="426"/>
        <w:jc w:val="both"/>
        <w:rPr>
          <w:rFonts w:ascii="Calibri" w:eastAsia="Calibri" w:hAnsi="Calibri" w:cs="Times New Roman"/>
        </w:rPr>
      </w:pPr>
      <w:proofErr w:type="spellStart"/>
      <w:r w:rsidRPr="001A45EA">
        <w:rPr>
          <w:rFonts w:ascii="Calibri" w:eastAsia="Calibri" w:hAnsi="Calibri" w:cs="Times New Roman"/>
          <w:b/>
          <w:bCs/>
        </w:rPr>
        <w:t>Together</w:t>
      </w:r>
      <w:proofErr w:type="spellEnd"/>
      <w:r w:rsidRPr="001A45EA">
        <w:rPr>
          <w:rFonts w:ascii="Calibri" w:eastAsia="Calibri" w:hAnsi="Calibri" w:cs="Times New Roman"/>
          <w:b/>
          <w:bCs/>
        </w:rPr>
        <w:t xml:space="preserve"> for </w:t>
      </w:r>
      <w:proofErr w:type="spellStart"/>
      <w:r w:rsidRPr="001A45EA">
        <w:rPr>
          <w:rFonts w:ascii="Calibri" w:eastAsia="Calibri" w:hAnsi="Calibri" w:cs="Times New Roman"/>
          <w:b/>
          <w:bCs/>
        </w:rPr>
        <w:t>Sustainability</w:t>
      </w:r>
      <w:proofErr w:type="spellEnd"/>
      <w:r w:rsidR="001A45EA" w:rsidRPr="001A45EA">
        <w:rPr>
          <w:rFonts w:ascii="Calibri" w:eastAsia="Calibri" w:hAnsi="Calibri" w:cs="Times New Roman"/>
          <w:b/>
          <w:bCs/>
        </w:rPr>
        <w:t xml:space="preserve"> </w:t>
      </w:r>
      <w:proofErr w:type="spellStart"/>
      <w:r w:rsidR="001A45EA" w:rsidRPr="001A45EA">
        <w:rPr>
          <w:rFonts w:ascii="Calibri" w:eastAsia="Calibri" w:hAnsi="Calibri" w:cs="Times New Roman"/>
          <w:b/>
          <w:bCs/>
        </w:rPr>
        <w:t>TfS</w:t>
      </w:r>
      <w:proofErr w:type="spellEnd"/>
      <w:r w:rsidR="001A45EA" w:rsidRPr="001A45EA">
        <w:rPr>
          <w:rFonts w:ascii="Calibri" w:eastAsia="Calibri" w:hAnsi="Calibri" w:cs="Times New Roman"/>
          <w:b/>
          <w:bCs/>
        </w:rPr>
        <w:t xml:space="preserve"> </w:t>
      </w:r>
      <w:r w:rsidR="001A45EA" w:rsidRPr="001A45EA">
        <w:rPr>
          <w:rFonts w:ascii="Calibri" w:eastAsia="Calibri" w:hAnsi="Calibri" w:cs="Times New Roman"/>
          <w:bCs/>
        </w:rPr>
        <w:t>(</w:t>
      </w:r>
      <w:hyperlink r:id="rId14" w:history="1">
        <w:r w:rsidR="001A45EA" w:rsidRPr="001A45EA">
          <w:rPr>
            <w:rStyle w:val="Lienhypertexte"/>
            <w:rFonts w:ascii="Calibri" w:eastAsia="Calibri" w:hAnsi="Calibri" w:cs="Times New Roman"/>
            <w:bCs/>
          </w:rPr>
          <w:t>http://www.tfs-initiative.com</w:t>
        </w:r>
      </w:hyperlink>
      <w:r w:rsidR="001A45EA" w:rsidRPr="001A45EA">
        <w:rPr>
          <w:rFonts w:ascii="Calibri" w:eastAsia="Calibri" w:hAnsi="Calibri" w:cs="Times New Roman"/>
          <w:bCs/>
        </w:rPr>
        <w:t>)</w:t>
      </w:r>
      <w:r w:rsidR="001A45EA" w:rsidRPr="001A45EA">
        <w:rPr>
          <w:rFonts w:ascii="Calibri" w:eastAsia="Calibri" w:hAnsi="Calibri" w:cs="Times New Roman"/>
          <w:b/>
          <w:bCs/>
        </w:rPr>
        <w:t xml:space="preserve"> </w:t>
      </w:r>
      <w:r w:rsidRPr="001A45EA">
        <w:rPr>
          <w:rFonts w:ascii="Calibri" w:eastAsia="Calibri" w:hAnsi="Calibri" w:cs="Times New Roman"/>
          <w:bCs/>
        </w:rPr>
        <w:t>initiative</w:t>
      </w:r>
      <w:r w:rsidRPr="001A45EA">
        <w:rPr>
          <w:rFonts w:ascii="Calibri" w:eastAsia="Calibri" w:hAnsi="Calibri" w:cs="Times New Roman"/>
        </w:rPr>
        <w:t xml:space="preserve"> récente lancée par </w:t>
      </w:r>
      <w:r w:rsidRPr="001A45EA">
        <w:rPr>
          <w:rFonts w:ascii="Calibri" w:eastAsia="Calibri" w:hAnsi="Calibri" w:cs="Times New Roman"/>
          <w:bCs/>
        </w:rPr>
        <w:t xml:space="preserve">les groupes chimiques BASF, Bayer, </w:t>
      </w:r>
      <w:proofErr w:type="spellStart"/>
      <w:r w:rsidRPr="001A45EA">
        <w:rPr>
          <w:rFonts w:ascii="Calibri" w:eastAsia="Calibri" w:hAnsi="Calibri" w:cs="Times New Roman"/>
          <w:bCs/>
        </w:rPr>
        <w:t>Evonik</w:t>
      </w:r>
      <w:proofErr w:type="spellEnd"/>
      <w:r w:rsidRPr="001A45EA">
        <w:rPr>
          <w:rFonts w:ascii="Calibri" w:eastAsia="Calibri" w:hAnsi="Calibri" w:cs="Times New Roman"/>
          <w:bCs/>
        </w:rPr>
        <w:t xml:space="preserve"> Industries, Henkel, LANXESS et Solvay afin de renforcer la durabilité de leurs chaînes d’approvisionnement ; une première année de pilotage d’évaluations et d’audits de la durabilité des chaînes d’approvis</w:t>
      </w:r>
      <w:r w:rsidR="001A45EA">
        <w:rPr>
          <w:rFonts w:ascii="Calibri" w:eastAsia="Calibri" w:hAnsi="Calibri" w:cs="Times New Roman"/>
          <w:bCs/>
        </w:rPr>
        <w:t xml:space="preserve">ionnement mondiales a eu lieu ; </w:t>
      </w:r>
    </w:p>
    <w:p w:rsidR="00B3129A" w:rsidRPr="00B3129A" w:rsidRDefault="00B3129A" w:rsidP="007408BA">
      <w:pPr>
        <w:numPr>
          <w:ilvl w:val="0"/>
          <w:numId w:val="4"/>
        </w:numPr>
        <w:spacing w:after="120" w:line="240" w:lineRule="auto"/>
        <w:ind w:left="426" w:hanging="426"/>
        <w:jc w:val="both"/>
        <w:rPr>
          <w:rFonts w:ascii="Calibri" w:eastAsia="Calibri" w:hAnsi="Calibri" w:cs="Times New Roman"/>
        </w:rPr>
      </w:pPr>
      <w:r w:rsidRPr="00B3129A">
        <w:rPr>
          <w:rFonts w:ascii="Calibri" w:eastAsia="Calibri" w:hAnsi="Calibri" w:cs="Times New Roman"/>
          <w:lang w:bidi="fr-FR"/>
        </w:rPr>
        <w:t xml:space="preserve">un </w:t>
      </w:r>
      <w:r w:rsidRPr="00B3129A">
        <w:rPr>
          <w:rFonts w:ascii="Calibri" w:eastAsia="Calibri" w:hAnsi="Calibri" w:cs="Times New Roman"/>
          <w:b/>
          <w:lang w:bidi="fr-FR"/>
        </w:rPr>
        <w:t>"</w:t>
      </w:r>
      <w:r w:rsidRPr="00F66AD2">
        <w:rPr>
          <w:rFonts w:ascii="Calibri" w:eastAsia="Calibri" w:hAnsi="Calibri" w:cs="Times New Roman"/>
          <w:b/>
          <w:iCs/>
          <w:lang w:bidi="fr-FR"/>
        </w:rPr>
        <w:t xml:space="preserve">Business </w:t>
      </w:r>
      <w:proofErr w:type="spellStart"/>
      <w:r w:rsidRPr="00F66AD2">
        <w:rPr>
          <w:rFonts w:ascii="Calibri" w:eastAsia="Calibri" w:hAnsi="Calibri" w:cs="Times New Roman"/>
          <w:b/>
          <w:iCs/>
          <w:lang w:bidi="fr-FR"/>
        </w:rPr>
        <w:t>Ethics</w:t>
      </w:r>
      <w:proofErr w:type="spellEnd"/>
      <w:r w:rsidRPr="00F66AD2">
        <w:rPr>
          <w:rFonts w:ascii="Calibri" w:eastAsia="Calibri" w:hAnsi="Calibri" w:cs="Times New Roman"/>
          <w:b/>
          <w:iCs/>
          <w:lang w:bidi="fr-FR"/>
        </w:rPr>
        <w:t xml:space="preserve"> </w:t>
      </w:r>
      <w:proofErr w:type="spellStart"/>
      <w:r w:rsidRPr="00F66AD2">
        <w:rPr>
          <w:rFonts w:ascii="Calibri" w:eastAsia="Calibri" w:hAnsi="Calibri" w:cs="Times New Roman"/>
          <w:b/>
          <w:iCs/>
          <w:lang w:bidi="fr-FR"/>
        </w:rPr>
        <w:t>Committee</w:t>
      </w:r>
      <w:proofErr w:type="spellEnd"/>
      <w:r w:rsidRPr="00B3129A">
        <w:rPr>
          <w:rFonts w:ascii="Calibri" w:eastAsia="Calibri" w:hAnsi="Calibri" w:cs="Times New Roman"/>
          <w:lang w:bidi="fr-FR"/>
        </w:rPr>
        <w:t xml:space="preserve">" </w:t>
      </w:r>
      <w:r w:rsidR="007408BA">
        <w:rPr>
          <w:rFonts w:ascii="Calibri" w:eastAsia="Calibri" w:hAnsi="Calibri" w:cs="Times New Roman"/>
          <w:lang w:bidi="fr-FR"/>
        </w:rPr>
        <w:t>(</w:t>
      </w:r>
      <w:hyperlink r:id="rId15" w:history="1">
        <w:r w:rsidR="007408BA" w:rsidRPr="00AF1E8E">
          <w:rPr>
            <w:rStyle w:val="Lienhypertexte"/>
            <w:rFonts w:ascii="Calibri" w:eastAsia="Calibri" w:hAnsi="Calibri" w:cs="Times New Roman"/>
            <w:lang w:bidi="fr-FR"/>
          </w:rPr>
          <w:t>http://www.asd-europe.org/about-us/ethics/</w:t>
        </w:r>
      </w:hyperlink>
      <w:r w:rsidR="007408BA">
        <w:rPr>
          <w:rFonts w:ascii="Calibri" w:eastAsia="Calibri" w:hAnsi="Calibri" w:cs="Times New Roman"/>
          <w:lang w:bidi="fr-FR"/>
        </w:rPr>
        <w:t xml:space="preserve">) </w:t>
      </w:r>
      <w:r w:rsidRPr="00B3129A">
        <w:rPr>
          <w:rFonts w:ascii="Calibri" w:eastAsia="Calibri" w:hAnsi="Calibri" w:cs="Times New Roman"/>
          <w:lang w:bidi="fr-FR"/>
        </w:rPr>
        <w:t xml:space="preserve">a été créé, en 2007, au sein de </w:t>
      </w:r>
      <w:proofErr w:type="spellStart"/>
      <w:r w:rsidRPr="00B3129A">
        <w:rPr>
          <w:rFonts w:ascii="Calibri" w:eastAsia="Calibri" w:hAnsi="Calibri" w:cs="Times New Roman"/>
          <w:i/>
          <w:iCs/>
          <w:lang w:bidi="fr-FR"/>
        </w:rPr>
        <w:t>l'AeroSpace</w:t>
      </w:r>
      <w:proofErr w:type="spellEnd"/>
      <w:r w:rsidRPr="00B3129A">
        <w:rPr>
          <w:rFonts w:ascii="Calibri" w:eastAsia="Calibri" w:hAnsi="Calibri" w:cs="Times New Roman"/>
          <w:i/>
          <w:iCs/>
          <w:lang w:bidi="fr-FR"/>
        </w:rPr>
        <w:t xml:space="preserve"> &amp; </w:t>
      </w:r>
      <w:proofErr w:type="spellStart"/>
      <w:r w:rsidRPr="00B3129A">
        <w:rPr>
          <w:rFonts w:ascii="Calibri" w:eastAsia="Calibri" w:hAnsi="Calibri" w:cs="Times New Roman"/>
          <w:i/>
          <w:iCs/>
          <w:lang w:bidi="fr-FR"/>
        </w:rPr>
        <w:t>Defence</w:t>
      </w:r>
      <w:proofErr w:type="spellEnd"/>
      <w:r w:rsidRPr="00B3129A">
        <w:rPr>
          <w:rFonts w:ascii="Calibri" w:eastAsia="Calibri" w:hAnsi="Calibri" w:cs="Times New Roman"/>
          <w:i/>
          <w:iCs/>
          <w:lang w:bidi="fr-FR"/>
        </w:rPr>
        <w:t xml:space="preserve"> Industries Association of Europe </w:t>
      </w:r>
      <w:r w:rsidRPr="00B3129A">
        <w:rPr>
          <w:rFonts w:ascii="Calibri" w:eastAsia="Calibri" w:hAnsi="Calibri" w:cs="Times New Roman"/>
          <w:lang w:bidi="fr-FR"/>
        </w:rPr>
        <w:t>(ASD)</w:t>
      </w:r>
      <w:r w:rsidR="00534032">
        <w:rPr>
          <w:rFonts w:ascii="Calibri" w:eastAsia="Calibri" w:hAnsi="Calibri" w:cs="Times New Roman"/>
          <w:lang w:bidi="fr-FR"/>
        </w:rPr>
        <w:t> ;</w:t>
      </w:r>
      <w:r w:rsidRPr="00B3129A">
        <w:rPr>
          <w:rFonts w:ascii="Calibri" w:eastAsia="Calibri" w:hAnsi="Calibri" w:cs="Times New Roman"/>
          <w:lang w:bidi="fr-FR"/>
        </w:rPr>
        <w:t xml:space="preserve"> </w:t>
      </w:r>
      <w:r w:rsidR="00534032">
        <w:rPr>
          <w:rFonts w:ascii="Calibri" w:eastAsia="Calibri" w:hAnsi="Calibri" w:cs="Times New Roman"/>
          <w:lang w:bidi="fr-FR"/>
        </w:rPr>
        <w:t>a</w:t>
      </w:r>
      <w:r w:rsidRPr="00B3129A">
        <w:rPr>
          <w:rFonts w:ascii="Calibri" w:eastAsia="Calibri" w:hAnsi="Calibri" w:cs="Times New Roman"/>
          <w:lang w:bidi="fr-FR"/>
        </w:rPr>
        <w:t xml:space="preserve">près avoir comparé les politiques et procédures déjà existantes en matière de responsabilité d’entreprise, ce </w:t>
      </w:r>
      <w:r w:rsidR="001D6CAD">
        <w:rPr>
          <w:rFonts w:ascii="Calibri" w:eastAsia="Calibri" w:hAnsi="Calibri" w:cs="Times New Roman"/>
          <w:lang w:bidi="fr-FR"/>
        </w:rPr>
        <w:t>c</w:t>
      </w:r>
      <w:r w:rsidRPr="00B3129A">
        <w:rPr>
          <w:rFonts w:ascii="Calibri" w:eastAsia="Calibri" w:hAnsi="Calibri" w:cs="Times New Roman"/>
          <w:lang w:bidi="fr-FR"/>
        </w:rPr>
        <w:t>omité a publié un ensemble de normes, "</w:t>
      </w:r>
      <w:r w:rsidRPr="00F66AD2">
        <w:rPr>
          <w:rFonts w:ascii="Calibri" w:eastAsia="Calibri" w:hAnsi="Calibri" w:cs="Times New Roman"/>
          <w:b/>
          <w:iCs/>
          <w:lang w:bidi="fr-FR"/>
        </w:rPr>
        <w:t xml:space="preserve">Common </w:t>
      </w:r>
      <w:proofErr w:type="spellStart"/>
      <w:r w:rsidRPr="00F66AD2">
        <w:rPr>
          <w:rFonts w:ascii="Calibri" w:eastAsia="Calibri" w:hAnsi="Calibri" w:cs="Times New Roman"/>
          <w:b/>
          <w:iCs/>
          <w:lang w:bidi="fr-FR"/>
        </w:rPr>
        <w:t>Industry</w:t>
      </w:r>
      <w:proofErr w:type="spellEnd"/>
      <w:r w:rsidRPr="00F66AD2">
        <w:rPr>
          <w:rFonts w:ascii="Calibri" w:eastAsia="Calibri" w:hAnsi="Calibri" w:cs="Times New Roman"/>
          <w:b/>
          <w:iCs/>
          <w:lang w:bidi="fr-FR"/>
        </w:rPr>
        <w:t xml:space="preserve"> Standards</w:t>
      </w:r>
      <w:r w:rsidRPr="00B3129A">
        <w:rPr>
          <w:rFonts w:ascii="Calibri" w:eastAsia="Calibri" w:hAnsi="Calibri" w:cs="Times New Roman"/>
          <w:i/>
          <w:iCs/>
          <w:lang w:bidi="fr-FR"/>
        </w:rPr>
        <w:t>" (CIS)</w:t>
      </w:r>
      <w:r w:rsidRPr="00B3129A">
        <w:rPr>
          <w:rFonts w:ascii="Calibri" w:eastAsia="Calibri" w:hAnsi="Calibri" w:cs="Times New Roman"/>
          <w:lang w:bidi="fr-FR"/>
        </w:rPr>
        <w:t>.</w:t>
      </w:r>
    </w:p>
    <w:p w:rsidR="00B3129A" w:rsidRPr="00B3129A" w:rsidRDefault="00B3129A" w:rsidP="001D6CAD">
      <w:pPr>
        <w:spacing w:after="120" w:line="240" w:lineRule="auto"/>
        <w:jc w:val="both"/>
        <w:rPr>
          <w:rFonts w:ascii="Calibri" w:eastAsia="Calibri" w:hAnsi="Calibri" w:cs="Times New Roman"/>
          <w:b/>
          <w:lang w:eastAsia="fr-FR"/>
        </w:rPr>
      </w:pPr>
    </w:p>
    <w:p w:rsidR="00B3129A" w:rsidRDefault="00D15F70" w:rsidP="00D15F70">
      <w:pPr>
        <w:spacing w:after="120" w:line="240" w:lineRule="auto"/>
        <w:jc w:val="center"/>
        <w:rPr>
          <w:rFonts w:ascii="Calibri" w:eastAsia="Calibri" w:hAnsi="Calibri" w:cs="Times New Roman"/>
          <w:lang w:eastAsia="fr-FR"/>
        </w:rPr>
      </w:pPr>
      <w:r>
        <w:rPr>
          <w:rFonts w:ascii="Calibri" w:eastAsia="Calibri" w:hAnsi="Calibri" w:cs="Times New Roman"/>
          <w:lang w:eastAsia="fr-FR"/>
        </w:rPr>
        <w:t>*</w:t>
      </w:r>
    </w:p>
    <w:p w:rsidR="00D15F70" w:rsidRPr="00B3129A" w:rsidRDefault="00D15F70" w:rsidP="00D15F70">
      <w:pPr>
        <w:spacing w:after="120" w:line="240" w:lineRule="auto"/>
        <w:jc w:val="center"/>
        <w:rPr>
          <w:rFonts w:ascii="Calibri" w:eastAsia="Calibri" w:hAnsi="Calibri" w:cs="Times New Roman"/>
          <w:lang w:eastAsia="fr-FR"/>
        </w:rPr>
      </w:pPr>
      <w:r>
        <w:rPr>
          <w:rFonts w:ascii="Calibri" w:eastAsia="Calibri" w:hAnsi="Calibri" w:cs="Times New Roman"/>
          <w:lang w:eastAsia="fr-FR"/>
        </w:rPr>
        <w:t>*      *</w:t>
      </w:r>
    </w:p>
    <w:p w:rsidR="009648BF" w:rsidRDefault="009648BF" w:rsidP="001D6CAD">
      <w:pPr>
        <w:spacing w:after="120"/>
      </w:pPr>
    </w:p>
    <w:sectPr w:rsidR="009648BF" w:rsidSect="007408BA">
      <w:headerReference w:type="default" r:id="rId16"/>
      <w:footerReference w:type="default" r:id="rId17"/>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E9" w:rsidRDefault="00DF4AE9" w:rsidP="00B3129A">
      <w:pPr>
        <w:spacing w:after="0" w:line="240" w:lineRule="auto"/>
      </w:pPr>
      <w:r>
        <w:separator/>
      </w:r>
    </w:p>
  </w:endnote>
  <w:endnote w:type="continuationSeparator" w:id="0">
    <w:p w:rsidR="00DF4AE9" w:rsidRDefault="00DF4AE9" w:rsidP="00B3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1917844462"/>
      <w:docPartObj>
        <w:docPartGallery w:val="Page Numbers (Bottom of Page)"/>
        <w:docPartUnique/>
      </w:docPartObj>
    </w:sdtPr>
    <w:sdtEndPr/>
    <w:sdtContent>
      <w:p w:rsidR="00DF4AE9" w:rsidRPr="000C2907" w:rsidRDefault="00331EB5">
        <w:pPr>
          <w:pStyle w:val="Pieddepage"/>
          <w:jc w:val="right"/>
          <w:rPr>
            <w:rFonts w:asciiTheme="minorHAnsi" w:hAnsiTheme="minorHAnsi"/>
            <w:sz w:val="22"/>
          </w:rPr>
        </w:pPr>
        <w:r w:rsidRPr="000C2907">
          <w:rPr>
            <w:rFonts w:asciiTheme="minorHAnsi" w:hAnsiTheme="minorHAnsi"/>
            <w:sz w:val="22"/>
          </w:rPr>
          <w:fldChar w:fldCharType="begin"/>
        </w:r>
        <w:r w:rsidRPr="000C2907">
          <w:rPr>
            <w:rFonts w:asciiTheme="minorHAnsi" w:hAnsiTheme="minorHAnsi"/>
            <w:sz w:val="22"/>
          </w:rPr>
          <w:instrText>PAGE   \* MERGEFORMAT</w:instrText>
        </w:r>
        <w:r w:rsidRPr="000C2907">
          <w:rPr>
            <w:rFonts w:asciiTheme="minorHAnsi" w:hAnsiTheme="minorHAnsi"/>
            <w:sz w:val="22"/>
          </w:rPr>
          <w:fldChar w:fldCharType="separate"/>
        </w:r>
        <w:r w:rsidR="007408BA">
          <w:rPr>
            <w:rFonts w:asciiTheme="minorHAnsi" w:hAnsiTheme="minorHAnsi"/>
            <w:noProof/>
            <w:sz w:val="22"/>
          </w:rPr>
          <w:t>4</w:t>
        </w:r>
        <w:r w:rsidRPr="000C2907">
          <w:rPr>
            <w:rFonts w:asciiTheme="minorHAnsi" w:hAnsiTheme="minorHAnsi"/>
            <w:noProof/>
            <w:sz w:val="22"/>
          </w:rPr>
          <w:fldChar w:fldCharType="end"/>
        </w:r>
      </w:p>
    </w:sdtContent>
  </w:sdt>
  <w:p w:rsidR="00DF4AE9" w:rsidRDefault="00DF4A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E9" w:rsidRDefault="00DF4AE9" w:rsidP="00B3129A">
      <w:pPr>
        <w:spacing w:after="0" w:line="240" w:lineRule="auto"/>
      </w:pPr>
      <w:r>
        <w:separator/>
      </w:r>
    </w:p>
  </w:footnote>
  <w:footnote w:type="continuationSeparator" w:id="0">
    <w:p w:rsidR="00DF4AE9" w:rsidRDefault="00DF4AE9" w:rsidP="00B3129A">
      <w:pPr>
        <w:spacing w:after="0" w:line="240" w:lineRule="auto"/>
      </w:pPr>
      <w:r>
        <w:continuationSeparator/>
      </w:r>
    </w:p>
  </w:footnote>
  <w:footnote w:id="1">
    <w:p w:rsidR="00DF4AE9" w:rsidRPr="000C2907" w:rsidRDefault="00DF4AE9" w:rsidP="000C2907">
      <w:pPr>
        <w:pStyle w:val="Notedebasdepage"/>
        <w:ind w:left="142" w:hanging="142"/>
        <w:jc w:val="both"/>
        <w:rPr>
          <w:rFonts w:asciiTheme="minorHAnsi" w:hAnsiTheme="minorHAnsi"/>
          <w:sz w:val="16"/>
        </w:rPr>
      </w:pPr>
      <w:r w:rsidRPr="000C2907">
        <w:rPr>
          <w:rStyle w:val="Appelnotedebasdep"/>
          <w:sz w:val="16"/>
        </w:rPr>
        <w:footnoteRef/>
      </w:r>
      <w:r>
        <w:t xml:space="preserve"> </w:t>
      </w:r>
      <w:r w:rsidR="000C2907">
        <w:tab/>
      </w:r>
      <w:r w:rsidRPr="000C2907">
        <w:rPr>
          <w:rFonts w:asciiTheme="minorHAnsi" w:hAnsiTheme="minorHAnsi"/>
          <w:sz w:val="16"/>
        </w:rPr>
        <w:t xml:space="preserve">La norme ISO 26000 définit la sphère d’influence comme « domaine dans lequel une organisation a la capacité d’influer sur les décisions ou les activités de personnes ou d’autres organisations ». </w:t>
      </w:r>
    </w:p>
  </w:footnote>
  <w:footnote w:id="2">
    <w:p w:rsidR="00DF4AE9" w:rsidRPr="00E9362B" w:rsidRDefault="00DF4AE9" w:rsidP="000C2907">
      <w:pPr>
        <w:pStyle w:val="Notedebasdepage"/>
        <w:ind w:left="142" w:hanging="142"/>
        <w:jc w:val="both"/>
        <w:rPr>
          <w:rFonts w:asciiTheme="minorHAnsi" w:hAnsiTheme="minorHAnsi"/>
          <w:sz w:val="16"/>
          <w:szCs w:val="16"/>
        </w:rPr>
      </w:pPr>
      <w:r w:rsidRPr="00E9362B">
        <w:rPr>
          <w:rStyle w:val="Appelnotedebasdep"/>
          <w:rFonts w:asciiTheme="minorHAnsi" w:hAnsiTheme="minorHAnsi"/>
          <w:sz w:val="16"/>
          <w:szCs w:val="16"/>
        </w:rPr>
        <w:footnoteRef/>
      </w:r>
      <w:r w:rsidRPr="00E9362B">
        <w:rPr>
          <w:rFonts w:asciiTheme="minorHAnsi" w:hAnsiTheme="minorHAnsi"/>
          <w:sz w:val="16"/>
          <w:szCs w:val="16"/>
        </w:rPr>
        <w:t xml:space="preserve"> </w:t>
      </w:r>
      <w:r w:rsidR="000C2907">
        <w:rPr>
          <w:rFonts w:asciiTheme="minorHAnsi" w:hAnsiTheme="minorHAnsi"/>
          <w:sz w:val="16"/>
          <w:szCs w:val="16"/>
        </w:rPr>
        <w:tab/>
      </w:r>
      <w:r w:rsidRPr="00E9362B">
        <w:rPr>
          <w:rFonts w:asciiTheme="minorHAnsi" w:hAnsiTheme="minorHAnsi"/>
          <w:sz w:val="16"/>
          <w:szCs w:val="16"/>
        </w:rPr>
        <w:t xml:space="preserve">En mutualisant les analyses RSE réalisées auprès des fournisseurs à la demande des donneurs d’ordres, l’évaluation permet de toucher une cible plus large et d’avoir une meilleure visibilité sur le système de management et sur les bonnes pratiques mises en œuvre par les fournisseurs. </w:t>
      </w:r>
    </w:p>
  </w:footnote>
  <w:footnote w:id="3">
    <w:p w:rsidR="00DF4AE9" w:rsidRPr="00E9362B" w:rsidRDefault="00DF4AE9" w:rsidP="000C2907">
      <w:pPr>
        <w:pStyle w:val="Notedebasdepage"/>
        <w:ind w:left="142" w:hanging="142"/>
        <w:rPr>
          <w:rFonts w:asciiTheme="minorHAnsi" w:hAnsiTheme="minorHAnsi"/>
          <w:sz w:val="16"/>
          <w:szCs w:val="16"/>
          <w:lang w:val="de-DE"/>
        </w:rPr>
      </w:pPr>
      <w:r w:rsidRPr="00E9362B">
        <w:rPr>
          <w:rStyle w:val="Appelnotedebasdep"/>
          <w:rFonts w:asciiTheme="minorHAnsi" w:hAnsiTheme="minorHAnsi"/>
          <w:sz w:val="16"/>
          <w:szCs w:val="16"/>
        </w:rPr>
        <w:footnoteRef/>
      </w:r>
      <w:r w:rsidRPr="00E9362B">
        <w:rPr>
          <w:rFonts w:asciiTheme="minorHAnsi" w:hAnsiTheme="minorHAnsi"/>
          <w:sz w:val="16"/>
          <w:szCs w:val="16"/>
          <w:lang w:val="de-DE"/>
        </w:rPr>
        <w:t xml:space="preserve"> </w:t>
      </w:r>
      <w:r w:rsidR="000C2907">
        <w:rPr>
          <w:rFonts w:asciiTheme="minorHAnsi" w:hAnsiTheme="minorHAnsi"/>
          <w:sz w:val="16"/>
          <w:szCs w:val="16"/>
          <w:lang w:val="de-DE"/>
        </w:rPr>
        <w:tab/>
      </w:r>
      <w:proofErr w:type="spellStart"/>
      <w:r w:rsidRPr="00E9362B">
        <w:rPr>
          <w:rFonts w:asciiTheme="minorHAnsi" w:hAnsiTheme="minorHAnsi"/>
          <w:sz w:val="16"/>
          <w:szCs w:val="16"/>
          <w:lang w:val="de-DE"/>
        </w:rPr>
        <w:t>Belgacom</w:t>
      </w:r>
      <w:proofErr w:type="spellEnd"/>
      <w:r w:rsidRPr="00E9362B">
        <w:rPr>
          <w:rFonts w:asciiTheme="minorHAnsi" w:hAnsiTheme="minorHAnsi"/>
          <w:sz w:val="16"/>
          <w:szCs w:val="16"/>
          <w:lang w:val="de-DE"/>
        </w:rPr>
        <w:t xml:space="preserve">, Deutsche Telekom, Orange, KPN, Swisscom, Telecom Italia, </w:t>
      </w:r>
      <w:proofErr w:type="spellStart"/>
      <w:r w:rsidRPr="00E9362B">
        <w:rPr>
          <w:rFonts w:asciiTheme="minorHAnsi" w:hAnsiTheme="minorHAnsi"/>
          <w:sz w:val="16"/>
          <w:szCs w:val="16"/>
          <w:lang w:val="de-DE"/>
        </w:rPr>
        <w:t>Telenor</w:t>
      </w:r>
      <w:proofErr w:type="spellEnd"/>
      <w:r w:rsidRPr="00E9362B">
        <w:rPr>
          <w:rFonts w:asciiTheme="minorHAnsi" w:hAnsiTheme="minorHAnsi"/>
          <w:sz w:val="16"/>
          <w:szCs w:val="16"/>
          <w:lang w:val="de-DE"/>
        </w:rPr>
        <w:t xml:space="preserve">, </w:t>
      </w:r>
      <w:proofErr w:type="spellStart"/>
      <w:r w:rsidRPr="00E9362B">
        <w:rPr>
          <w:rFonts w:asciiTheme="minorHAnsi" w:hAnsiTheme="minorHAnsi"/>
          <w:sz w:val="16"/>
          <w:szCs w:val="16"/>
          <w:lang w:val="de-DE"/>
        </w:rPr>
        <w:t>TeliaSonera</w:t>
      </w:r>
      <w:proofErr w:type="spellEnd"/>
      <w:r w:rsidRPr="00E9362B">
        <w:rPr>
          <w:rFonts w:asciiTheme="minorHAnsi" w:hAnsiTheme="minorHAnsi"/>
          <w:sz w:val="16"/>
          <w:szCs w:val="16"/>
          <w:lang w:val="de-DE"/>
        </w:rPr>
        <w:t xml:space="preserve"> et Vodafone</w:t>
      </w:r>
      <w:r w:rsidR="000C2907">
        <w:rPr>
          <w:rFonts w:asciiTheme="minorHAnsi" w:hAnsiTheme="minorHAnsi"/>
          <w:sz w:val="16"/>
          <w:szCs w:val="16"/>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E9" w:rsidRDefault="00DF4AE9">
    <w:pPr>
      <w:pStyle w:val="En-tte"/>
    </w:pPr>
    <w:r>
      <w:rPr>
        <w:rFonts w:ascii="Calibri" w:hAnsi="Calibri" w:cs="Calibri"/>
        <w:noProof/>
        <w:sz w:val="22"/>
        <w:szCs w:val="22"/>
      </w:rPr>
      <w:drawing>
        <wp:inline distT="0" distB="0" distL="0" distR="0" wp14:anchorId="1508E7BA" wp14:editId="11AE7F8C">
          <wp:extent cx="896620" cy="457200"/>
          <wp:effectExtent l="0" t="0" r="0" b="0"/>
          <wp:docPr id="1" name="Image 1" descr="logo afep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fep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457200"/>
                  </a:xfrm>
                  <a:prstGeom prst="rect">
                    <a:avLst/>
                  </a:prstGeom>
                  <a:noFill/>
                  <a:ln>
                    <a:noFill/>
                  </a:ln>
                </pic:spPr>
              </pic:pic>
            </a:graphicData>
          </a:graphic>
        </wp:inline>
      </w:drawing>
    </w:r>
  </w:p>
  <w:p w:rsidR="00DF4AE9" w:rsidRDefault="00DF4A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05F1"/>
    <w:multiLevelType w:val="hybridMultilevel"/>
    <w:tmpl w:val="46D4A7D8"/>
    <w:lvl w:ilvl="0" w:tplc="61461EDC">
      <w:start w:val="15"/>
      <w:numFmt w:val="bullet"/>
      <w:lvlText w:val="-"/>
      <w:lvlJc w:val="left"/>
      <w:pPr>
        <w:ind w:left="2064" w:hanging="360"/>
      </w:pPr>
      <w:rPr>
        <w:rFonts w:ascii="Calibri" w:eastAsia="Calibri" w:hAnsi="Calibri" w:cs="Consolas" w:hint="default"/>
      </w:rPr>
    </w:lvl>
    <w:lvl w:ilvl="1" w:tplc="040C0003" w:tentative="1">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1">
    <w:nsid w:val="0EBF58EA"/>
    <w:multiLevelType w:val="hybridMultilevel"/>
    <w:tmpl w:val="C004D4E6"/>
    <w:lvl w:ilvl="0" w:tplc="040C0017">
      <w:start w:val="1"/>
      <w:numFmt w:val="lowerLetter"/>
      <w:lvlText w:val="%1)"/>
      <w:lvlJc w:val="left"/>
      <w:pPr>
        <w:ind w:left="720" w:hanging="360"/>
      </w:pPr>
      <w:rPr>
        <w:rFonts w:hint="default"/>
      </w:rPr>
    </w:lvl>
    <w:lvl w:ilvl="1" w:tplc="3740DF38">
      <w:numFmt w:val="bullet"/>
      <w:lvlText w:val="-"/>
      <w:lvlJc w:val="left"/>
      <w:pPr>
        <w:ind w:left="1800" w:hanging="720"/>
      </w:pPr>
      <w:rPr>
        <w:rFonts w:ascii="Calibri" w:eastAsia="Times New Roman"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9A3D2F"/>
    <w:multiLevelType w:val="hybridMultilevel"/>
    <w:tmpl w:val="A6C0BC7E"/>
    <w:lvl w:ilvl="0" w:tplc="1BB0724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D712D7"/>
    <w:multiLevelType w:val="hybridMultilevel"/>
    <w:tmpl w:val="CEEA87E0"/>
    <w:lvl w:ilvl="0" w:tplc="CF1AD8BE">
      <w:start w:val="1"/>
      <w:numFmt w:val="bullet"/>
      <w:lvlText w:val="-"/>
      <w:lvlJc w:val="left"/>
      <w:pPr>
        <w:ind w:left="1068" w:hanging="360"/>
      </w:pPr>
      <w:rPr>
        <w:rFonts w:ascii="Times New Roman" w:hAnsi="Times New Roman" w:cs="Times New Roman" w:hint="default"/>
        <w:b w:val="0"/>
        <w:i w:val="0"/>
        <w:sz w:val="24"/>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52E31095"/>
    <w:multiLevelType w:val="hybridMultilevel"/>
    <w:tmpl w:val="C7C08712"/>
    <w:lvl w:ilvl="0" w:tplc="617C69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9A"/>
    <w:rsid w:val="00036256"/>
    <w:rsid w:val="000B6C80"/>
    <w:rsid w:val="000C2907"/>
    <w:rsid w:val="000F46D1"/>
    <w:rsid w:val="00125FB5"/>
    <w:rsid w:val="001A45EA"/>
    <w:rsid w:val="001D6CAD"/>
    <w:rsid w:val="00331EB5"/>
    <w:rsid w:val="004A7466"/>
    <w:rsid w:val="004F565C"/>
    <w:rsid w:val="00534032"/>
    <w:rsid w:val="0059292C"/>
    <w:rsid w:val="006370AC"/>
    <w:rsid w:val="00717CFE"/>
    <w:rsid w:val="007408BA"/>
    <w:rsid w:val="00782105"/>
    <w:rsid w:val="007E24A5"/>
    <w:rsid w:val="00840377"/>
    <w:rsid w:val="008D572C"/>
    <w:rsid w:val="0095510B"/>
    <w:rsid w:val="009648BF"/>
    <w:rsid w:val="00985D54"/>
    <w:rsid w:val="00AC6A5F"/>
    <w:rsid w:val="00B14E4B"/>
    <w:rsid w:val="00B262A2"/>
    <w:rsid w:val="00B27F90"/>
    <w:rsid w:val="00B3129A"/>
    <w:rsid w:val="00B63C2F"/>
    <w:rsid w:val="00B65FEB"/>
    <w:rsid w:val="00B77D99"/>
    <w:rsid w:val="00CE30ED"/>
    <w:rsid w:val="00D15F70"/>
    <w:rsid w:val="00D556AC"/>
    <w:rsid w:val="00DA370D"/>
    <w:rsid w:val="00DE5801"/>
    <w:rsid w:val="00DF01C8"/>
    <w:rsid w:val="00DF3D6E"/>
    <w:rsid w:val="00DF4AE9"/>
    <w:rsid w:val="00E149BE"/>
    <w:rsid w:val="00E1652A"/>
    <w:rsid w:val="00E74577"/>
    <w:rsid w:val="00E9362B"/>
    <w:rsid w:val="00ED5B13"/>
    <w:rsid w:val="00F11000"/>
    <w:rsid w:val="00F66AD2"/>
    <w:rsid w:val="00FE0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129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B3129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3129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3129A"/>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B3129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B3129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3129A"/>
    <w:rPr>
      <w:vertAlign w:val="superscript"/>
    </w:rPr>
  </w:style>
  <w:style w:type="paragraph" w:styleId="Textedebulles">
    <w:name w:val="Balloon Text"/>
    <w:basedOn w:val="Normal"/>
    <w:link w:val="TextedebullesCar"/>
    <w:uiPriority w:val="99"/>
    <w:semiHidden/>
    <w:unhideWhenUsed/>
    <w:rsid w:val="00B312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129A"/>
    <w:rPr>
      <w:rFonts w:ascii="Tahoma" w:hAnsi="Tahoma" w:cs="Tahoma"/>
      <w:sz w:val="16"/>
      <w:szCs w:val="16"/>
    </w:rPr>
  </w:style>
  <w:style w:type="character" w:styleId="Lienhypertexte">
    <w:name w:val="Hyperlink"/>
    <w:basedOn w:val="Policepardfaut"/>
    <w:uiPriority w:val="99"/>
    <w:unhideWhenUsed/>
    <w:rsid w:val="00534032"/>
    <w:rPr>
      <w:color w:val="0000FF" w:themeColor="hyperlink"/>
      <w:u w:val="single"/>
    </w:rPr>
  </w:style>
  <w:style w:type="paragraph" w:styleId="Paragraphedeliste">
    <w:name w:val="List Paragraph"/>
    <w:basedOn w:val="Normal"/>
    <w:uiPriority w:val="34"/>
    <w:qFormat/>
    <w:rsid w:val="00E9362B"/>
    <w:pPr>
      <w:ind w:left="720"/>
      <w:contextualSpacing/>
    </w:pPr>
  </w:style>
  <w:style w:type="character" w:styleId="Lienhypertextesuivivisit">
    <w:name w:val="FollowedHyperlink"/>
    <w:basedOn w:val="Policepardfaut"/>
    <w:uiPriority w:val="99"/>
    <w:semiHidden/>
    <w:unhideWhenUsed/>
    <w:rsid w:val="001A45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129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B3129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3129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B3129A"/>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B3129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B3129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3129A"/>
    <w:rPr>
      <w:vertAlign w:val="superscript"/>
    </w:rPr>
  </w:style>
  <w:style w:type="paragraph" w:styleId="Textedebulles">
    <w:name w:val="Balloon Text"/>
    <w:basedOn w:val="Normal"/>
    <w:link w:val="TextedebullesCar"/>
    <w:uiPriority w:val="99"/>
    <w:semiHidden/>
    <w:unhideWhenUsed/>
    <w:rsid w:val="00B312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129A"/>
    <w:rPr>
      <w:rFonts w:ascii="Tahoma" w:hAnsi="Tahoma" w:cs="Tahoma"/>
      <w:sz w:val="16"/>
      <w:szCs w:val="16"/>
    </w:rPr>
  </w:style>
  <w:style w:type="character" w:styleId="Lienhypertexte">
    <w:name w:val="Hyperlink"/>
    <w:basedOn w:val="Policepardfaut"/>
    <w:uiPriority w:val="99"/>
    <w:unhideWhenUsed/>
    <w:rsid w:val="00534032"/>
    <w:rPr>
      <w:color w:val="0000FF" w:themeColor="hyperlink"/>
      <w:u w:val="single"/>
    </w:rPr>
  </w:style>
  <w:style w:type="paragraph" w:styleId="Paragraphedeliste">
    <w:name w:val="List Paragraph"/>
    <w:basedOn w:val="Normal"/>
    <w:uiPriority w:val="34"/>
    <w:qFormat/>
    <w:rsid w:val="00E9362B"/>
    <w:pPr>
      <w:ind w:left="720"/>
      <w:contextualSpacing/>
    </w:pPr>
  </w:style>
  <w:style w:type="character" w:styleId="Lienhypertextesuivivisit">
    <w:name w:val="FollowedHyperlink"/>
    <w:basedOn w:val="Policepardfaut"/>
    <w:uiPriority w:val="99"/>
    <w:semiHidden/>
    <w:unhideWhenUsed/>
    <w:rsid w:val="001A4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ieca.org/human-righ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sreurope.org/joint-audit-cooperation-ja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s-asso.org" TargetMode="External"/><Relationship Id="rId5" Type="http://schemas.openxmlformats.org/officeDocument/2006/relationships/settings" Target="settings.xml"/><Relationship Id="rId15" Type="http://schemas.openxmlformats.org/officeDocument/2006/relationships/hyperlink" Target="http://www.asd-europe.org/about-us/ethics/" TargetMode="External"/><Relationship Id="rId10" Type="http://schemas.openxmlformats.org/officeDocument/2006/relationships/hyperlink" Target="http://www.bsci-intl.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scpnet.com/" TargetMode="External"/><Relationship Id="rId14" Type="http://schemas.openxmlformats.org/officeDocument/2006/relationships/hyperlink" Target="http://www.tfs-initi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7074-7F41-499B-8E79-AB79B16F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9306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10976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2015-01-13T15:22:00Z</dcterms:created>
  <dcterms:modified xsi:type="dcterms:W3CDTF">2015-01-13T15:22:00Z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ABAAVOAfoSrQoywZv8blbDaHIwynWxTZlquYjz6+gEUYjyeTr0zJCRMqJMlG9hILGHhX</vt:lpwstr>
  </property>
  <property fmtid="{D5CDD505-2E9C-101B-9397-08002B2CF9AE}" pid="3" name="RESPONSE_SENDER_NAME">
    <vt:lpwstr>gAAAdya76B99d4hLGUR1rQ+8TxTv0GGEPdix</vt:lpwstr>
  </property>
  <property fmtid="{D5CDD505-2E9C-101B-9397-08002B2CF9AE}" pid="4" name="EMAIL_OWNER_ADDRESS">
    <vt:lpwstr>4AAAUmLmXdMZevQNu8urNAdlLaR5ranZ9Wdy7M+l4DVW+LGMsjzFicFwZg==</vt:lpwstr>
  </property>
</Properties>
</file>